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055F1C">
      <w:pPr>
        <w:pStyle w:val="9"/>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16bis</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513660</w:t>
      </w:r>
      <w:bookmarkStart w:id="8" w:name="_GoBack"/>
      <w:bookmarkEnd w:id="8"/>
      <w:r>
        <w:rPr>
          <w:b/>
          <w:sz w:val="24"/>
          <w:szCs w:val="24"/>
          <w:highlight w:val="none"/>
        </w:rPr>
        <w:t xml:space="preserve">                      </w:t>
      </w:r>
    </w:p>
    <w:bookmarkEnd w:id="0"/>
    <w:bookmarkEnd w:id="1"/>
    <w:p w14:paraId="5C25862B">
      <w:pPr>
        <w:pStyle w:val="9"/>
        <w:tabs>
          <w:tab w:val="right" w:pos="9781"/>
          <w:tab w:val="right" w:pos="13323"/>
          <w:tab w:val="clear" w:pos="4153"/>
          <w:tab w:val="clear" w:pos="8306"/>
        </w:tabs>
        <w:outlineLvl w:val="0"/>
        <w:rPr>
          <w:rFonts w:hint="default" w:ascii="Times New Roman" w:hAnsi="Times New Roman" w:cs="Times New Roman"/>
          <w:b/>
          <w:sz w:val="24"/>
          <w:szCs w:val="24"/>
          <w:highlight w:val="cyan"/>
        </w:rPr>
      </w:pPr>
      <w:r>
        <w:rPr>
          <w:rFonts w:hint="default" w:ascii="Times New Roman" w:hAnsi="Times New Roman" w:eastAsia="宋体" w:cs="Times New Roman"/>
          <w:b/>
          <w:sz w:val="24"/>
          <w:szCs w:val="24"/>
          <w:lang w:eastAsia="zh-CN"/>
        </w:rPr>
        <w:t>Prague, Czech Republic, Oct. 13-17,</w:t>
      </w:r>
      <w:r>
        <w:rPr>
          <w:rFonts w:hint="default" w:ascii="Times New Roman" w:hAnsi="Times New Roman" w:cs="Times New Roman"/>
          <w:b/>
          <w:bCs/>
          <w:sz w:val="24"/>
          <w:szCs w:val="24"/>
          <w:highlight w:val="none"/>
        </w:rPr>
        <w:t xml:space="preserve"> 2025</w:t>
      </w:r>
    </w:p>
    <w:p w14:paraId="7103F181">
      <w:pPr>
        <w:tabs>
          <w:tab w:val="left" w:pos="1985"/>
        </w:tabs>
        <w:rPr>
          <w:rFonts w:ascii="Times New Roman" w:hAnsi="Times New Roman"/>
          <w:b/>
          <w:sz w:val="22"/>
          <w:highlight w:val="none"/>
        </w:rPr>
      </w:pPr>
    </w:p>
    <w:p w14:paraId="37F44CB1">
      <w:pPr>
        <w:tabs>
          <w:tab w:val="left" w:pos="1765"/>
        </w:tabs>
        <w:rPr>
          <w:rFonts w:hint="eastAsia" w:ascii="Times New Roman" w:hAnsi="Times New Roman" w:eastAsia="宋体"/>
          <w:b/>
          <w:sz w:val="22"/>
          <w:highlight w:val="none"/>
          <w:lang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6</w:t>
      </w:r>
      <w:r>
        <w:rPr>
          <w:rFonts w:ascii="Times New Roman" w:hAnsi="Times New Roman"/>
          <w:sz w:val="22"/>
          <w:highlight w:val="none"/>
        </w:rPr>
        <w:t>.</w:t>
      </w:r>
      <w:r>
        <w:rPr>
          <w:rFonts w:hint="eastAsia" w:ascii="Times New Roman" w:hAnsi="Times New Roman"/>
          <w:sz w:val="22"/>
          <w:highlight w:val="none"/>
          <w:lang w:val="en-US" w:eastAsia="zh-CN"/>
        </w:rPr>
        <w:t>11</w:t>
      </w:r>
      <w:r>
        <w:rPr>
          <w:rFonts w:hint="eastAsia" w:ascii="Times New Roman" w:hAnsi="Times New Roman"/>
          <w:sz w:val="22"/>
          <w:highlight w:val="none"/>
        </w:rPr>
        <w:t>.</w:t>
      </w:r>
      <w:r>
        <w:rPr>
          <w:rFonts w:hint="eastAsia" w:ascii="Times New Roman" w:hAnsi="Times New Roman"/>
          <w:sz w:val="22"/>
          <w:highlight w:val="none"/>
          <w:lang w:val="en-US" w:eastAsia="zh-CN"/>
        </w:rPr>
        <w:t>4</w:t>
      </w:r>
    </w:p>
    <w:p w14:paraId="7891286E">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6448A15B">
      <w:pPr>
        <w:rPr>
          <w:rFonts w:hint="default" w:ascii="Times New Roman" w:hAnsi="Times New Roman" w:eastAsia="宋体"/>
          <w:sz w:val="22"/>
          <w:lang w:val="en-US" w:eastAsia="zh-CN"/>
        </w:rPr>
      </w:pPr>
      <w:r>
        <w:rPr>
          <w:rFonts w:ascii="Times New Roman" w:hAnsi="Times New Roman"/>
          <w:b/>
          <w:sz w:val="22"/>
        </w:rPr>
        <w:t xml:space="preserve">Title: </w:t>
      </w:r>
      <w:r>
        <w:rPr>
          <w:rFonts w:ascii="Times New Roman" w:hAnsi="Times New Roman"/>
          <w:b/>
          <w:sz w:val="22"/>
        </w:rPr>
        <w:tab/>
      </w:r>
      <w:r>
        <w:rPr>
          <w:rFonts w:ascii="Times New Roman" w:hAnsi="Times New Roman"/>
          <w:b/>
          <w:sz w:val="22"/>
        </w:rPr>
        <w:tab/>
      </w:r>
      <w:r>
        <w:rPr>
          <w:rFonts w:ascii="Times New Roman" w:hAnsi="Times New Roman"/>
          <w:b/>
          <w:sz w:val="22"/>
        </w:rPr>
        <w:tab/>
      </w:r>
      <w:bookmarkStart w:id="2" w:name="OLE_LINK23"/>
      <w:bookmarkStart w:id="3" w:name="OLE_LINK24"/>
      <w:bookmarkStart w:id="4" w:name="OLE_LINK7"/>
      <w:bookmarkStart w:id="5" w:name="OLE_LINK8"/>
      <w:r>
        <w:rPr>
          <w:rFonts w:ascii="Times New Roman" w:hAnsi="Times New Roman"/>
          <w:sz w:val="22"/>
        </w:rPr>
        <w:t>D</w:t>
      </w:r>
      <w:r>
        <w:rPr>
          <w:rFonts w:hint="eastAsia" w:ascii="Times New Roman" w:hAnsi="Times New Roman"/>
          <w:sz w:val="22"/>
        </w:rPr>
        <w:t xml:space="preserve">iscussion on </w:t>
      </w:r>
      <w:bookmarkEnd w:id="2"/>
      <w:bookmarkEnd w:id="3"/>
      <w:r>
        <w:rPr>
          <w:rFonts w:hint="eastAsia" w:ascii="Times New Roman" w:hAnsi="Times New Roman"/>
          <w:sz w:val="22"/>
          <w:lang w:val="en-US" w:eastAsia="zh-CN"/>
        </w:rPr>
        <w:t>RRM core requirement and testing framework for beam management</w:t>
      </w:r>
    </w:p>
    <w:bookmarkEnd w:id="4"/>
    <w:bookmarkEnd w:id="5"/>
    <w:p w14:paraId="7B501149">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2DEF85FE">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65582888">
      <w:pPr>
        <w:spacing w:after="180" w:line="240" w:lineRule="exact"/>
        <w:rPr>
          <w:rFonts w:ascii="Times New Roman" w:hAnsi="Times New Roman"/>
          <w:sz w:val="20"/>
          <w:szCs w:val="20"/>
        </w:rPr>
      </w:pPr>
      <w:r>
        <w:rPr>
          <w:rFonts w:ascii="Times New Roman" w:hAnsi="Times New Roman"/>
          <w:sz w:val="20"/>
          <w:szCs w:val="20"/>
        </w:rPr>
        <w:t>In RAN #</w:t>
      </w:r>
      <w:r>
        <w:rPr>
          <w:rFonts w:hint="eastAsia" w:ascii="Times New Roman" w:hAnsi="Times New Roman"/>
          <w:sz w:val="20"/>
          <w:szCs w:val="20"/>
          <w:lang w:val="en-US" w:eastAsia="zh-CN"/>
        </w:rPr>
        <w:t>102</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W</w:t>
      </w:r>
      <w:r>
        <w:rPr>
          <w:rFonts w:ascii="Times New Roman" w:hAnsi="Times New Roman"/>
          <w:sz w:val="20"/>
          <w:szCs w:val="20"/>
        </w:rPr>
        <w:t>ID on Artificial Intelligence (AI)/Machine Learning (ML) for NR Air Interface was approved [1]. In RAN #</w:t>
      </w:r>
      <w:r>
        <w:rPr>
          <w:rFonts w:hint="eastAsia" w:ascii="Times New Roman" w:hAnsi="Times New Roman"/>
          <w:sz w:val="20"/>
          <w:szCs w:val="20"/>
          <w:lang w:val="en-US" w:eastAsia="zh-CN"/>
        </w:rPr>
        <w:t>106</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revised W</w:t>
      </w:r>
      <w:r>
        <w:rPr>
          <w:rFonts w:ascii="Times New Roman" w:hAnsi="Times New Roman"/>
          <w:sz w:val="20"/>
          <w:szCs w:val="20"/>
        </w:rPr>
        <w:t>ID on Artificial Intelligence (AI)/Machine Learning (ML) for NR Air Interface was approved [</w:t>
      </w:r>
      <w:r>
        <w:rPr>
          <w:rFonts w:hint="eastAsia" w:ascii="Times New Roman" w:hAnsi="Times New Roman"/>
          <w:sz w:val="20"/>
          <w:szCs w:val="20"/>
          <w:lang w:val="en-US" w:eastAsia="zh-CN"/>
        </w:rPr>
        <w:t>2</w:t>
      </w:r>
      <w:r>
        <w:rPr>
          <w:rFonts w:ascii="Times New Roman" w:hAnsi="Times New Roman"/>
          <w:sz w:val="20"/>
          <w:szCs w:val="20"/>
        </w:rPr>
        <w:t>].</w:t>
      </w:r>
      <w:r>
        <w:rPr>
          <w:rFonts w:hint="eastAsia" w:ascii="Times New Roman" w:hAnsi="Times New Roman"/>
          <w:sz w:val="20"/>
          <w:szCs w:val="20"/>
          <w:lang w:val="en-US" w:eastAsia="zh-CN"/>
        </w:rPr>
        <w:t xml:space="preserve"> </w:t>
      </w:r>
      <w:r>
        <w:rPr>
          <w:rFonts w:ascii="Times New Roman" w:hAnsi="Times New Roman"/>
          <w:sz w:val="20"/>
          <w:szCs w:val="20"/>
        </w:rPr>
        <w:t>The objectives for RAN4 are duplicated as following.</w:t>
      </w:r>
    </w:p>
    <w:tbl>
      <w:tblPr>
        <w:tblStyle w:val="10"/>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30"/>
      </w:tblGrid>
      <w:tr w14:paraId="45D3F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0" w:type="dxa"/>
            <w:noWrap w:val="0"/>
            <w:vAlign w:val="top"/>
          </w:tcPr>
          <w:p w14:paraId="0AF519BD">
            <w:pPr>
              <w:numPr>
                <w:ilvl w:val="0"/>
                <w:numId w:val="4"/>
              </w:numPr>
              <w:spacing w:after="0"/>
              <w:ind w:left="30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 xml:space="preserve">Core requirements for </w:t>
            </w:r>
            <w:r>
              <w:rPr>
                <w:rFonts w:hint="default" w:ascii="Times New Roman" w:hAnsi="Times New Roman" w:cs="Times New Roman"/>
                <w:bCs/>
                <w:sz w:val="20"/>
                <w:szCs w:val="20"/>
              </w:rPr>
              <w:t xml:space="preserve">the above two use cases for AI/ML </w:t>
            </w:r>
            <w:r>
              <w:rPr>
                <w:rFonts w:hint="default" w:ascii="Times New Roman" w:hAnsi="Times New Roman" w:eastAsia="Batang" w:cs="Times New Roman"/>
                <w:sz w:val="20"/>
                <w:szCs w:val="20"/>
              </w:rPr>
              <w:t>LCM procedures and UE features [RAN4]:</w:t>
            </w:r>
          </w:p>
          <w:p w14:paraId="65691B28">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cs="Times New Roman"/>
                <w:bCs/>
                <w:sz w:val="20"/>
                <w:szCs w:val="20"/>
              </w:rPr>
              <w:t>Specify necessary RAN4 core requirements for the above three use cases. This includes the test setup and methodology for the beam management use case.</w:t>
            </w:r>
          </w:p>
          <w:p w14:paraId="11C0CB2D">
            <w:pPr>
              <w:numPr>
                <w:ilvl w:val="1"/>
                <w:numId w:val="4"/>
              </w:numPr>
              <w:spacing w:after="0"/>
              <w:ind w:left="1020" w:leftChars="0"/>
              <w:rPr>
                <w:rFonts w:hint="default" w:ascii="Times New Roman" w:hAnsi="Times New Roman" w:cs="Times New Roman"/>
                <w:bCs/>
                <w:sz w:val="20"/>
                <w:szCs w:val="20"/>
              </w:rPr>
            </w:pPr>
            <w:r>
              <w:rPr>
                <w:rFonts w:hint="default" w:ascii="Times New Roman" w:hAnsi="Times New Roman" w:eastAsia="Batang" w:cs="Times New Roman"/>
                <w:sz w:val="20"/>
                <w:szCs w:val="20"/>
              </w:rPr>
              <w:t>Specify necessary RAN4 core requirements for LCM procedures including performance monitoring.</w:t>
            </w:r>
          </w:p>
          <w:p w14:paraId="347D2E4C">
            <w:pPr>
              <w:numPr>
                <w:ilvl w:val="0"/>
                <w:numId w:val="0"/>
              </w:numPr>
              <w:overflowPunct/>
              <w:autoSpaceDE/>
              <w:autoSpaceDN/>
              <w:adjustRightInd/>
              <w:spacing w:after="0" w:line="259" w:lineRule="auto"/>
              <w:contextualSpacing/>
              <w:textAlignment w:val="auto"/>
              <w:rPr>
                <w:rFonts w:hint="default" w:ascii="Times New Roman" w:hAnsi="Times New Roman" w:cs="Times New Roman"/>
                <w:bCs/>
                <w:sz w:val="20"/>
                <w:szCs w:val="20"/>
              </w:rPr>
            </w:pPr>
          </w:p>
        </w:tc>
      </w:tr>
    </w:tbl>
    <w:p w14:paraId="75C4B1C6">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meeting, there is discussion on Artificial Intelligence (AI)/Machine Learning (ML) for NR Air Interface, and a WF was approved [3]. </w:t>
      </w:r>
      <w:r>
        <w:rPr>
          <w:rFonts w:ascii="Times New Roman" w:hAnsi="Times New Roman"/>
          <w:sz w:val="20"/>
          <w:szCs w:val="20"/>
        </w:rPr>
        <w:t>T</w:t>
      </w:r>
      <w:r>
        <w:rPr>
          <w:rFonts w:hint="eastAsia" w:ascii="Times New Roman" w:hAnsi="Times New Roman"/>
          <w:sz w:val="20"/>
          <w:szCs w:val="20"/>
        </w:rPr>
        <w:t>his contribution provides discussion on RRM requirements for beam management.</w:t>
      </w:r>
    </w:p>
    <w:p w14:paraId="1DEBCE61">
      <w:pPr>
        <w:pStyle w:val="2"/>
        <w:widowControl/>
        <w:numPr>
          <w:ilvl w:val="0"/>
          <w:numId w:val="3"/>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val="en-US" w:eastAsia="zh-CN"/>
        </w:rPr>
      </w:pPr>
      <w:r>
        <w:rPr>
          <w:rFonts w:ascii="Times New Roman" w:hAnsi="Times New Roman"/>
          <w:b w:val="0"/>
          <w:bCs w:val="0"/>
          <w:kern w:val="0"/>
          <w:sz w:val="36"/>
          <w:szCs w:val="36"/>
        </w:rPr>
        <w:t xml:space="preserve">Discussion </w:t>
      </w:r>
      <w:bookmarkStart w:id="6" w:name="OLE_LINK2"/>
      <w:bookmarkStart w:id="7" w:name="OLE_LINK1"/>
      <w:r>
        <w:rPr>
          <w:rFonts w:ascii="Times New Roman" w:hAnsi="Times New Roman"/>
          <w:b w:val="0"/>
          <w:bCs w:val="0"/>
          <w:kern w:val="0"/>
          <w:sz w:val="36"/>
          <w:szCs w:val="36"/>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E676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5B5A52E5">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9</w:t>
            </w:r>
            <w:r>
              <w:rPr>
                <w:rFonts w:hint="default" w:ascii="Times New Roman" w:hAnsi="Times New Roman" w:cs="Times New Roman"/>
                <w:b/>
                <w:sz w:val="20"/>
                <w:szCs w:val="20"/>
                <w:u w:val="single"/>
                <w:lang w:eastAsia="ko-KR"/>
              </w:rPr>
              <w:t xml:space="preserve">: Metrics/KPIs for </w:t>
            </w:r>
            <w:r>
              <w:rPr>
                <w:rFonts w:hint="default" w:ascii="Times New Roman" w:hAnsi="Times New Roman" w:eastAsia="游明朝" w:cs="Times New Roman"/>
                <w:b/>
                <w:sz w:val="20"/>
                <w:szCs w:val="20"/>
                <w:u w:val="single"/>
                <w:lang w:eastAsia="ja-JP"/>
              </w:rPr>
              <w:t>beam ID prediction</w:t>
            </w:r>
          </w:p>
          <w:p w14:paraId="54D2244D">
            <w:pPr>
              <w:pStyle w:val="13"/>
              <w:spacing w:after="120"/>
              <w:ind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Agreement:</w:t>
            </w:r>
          </w:p>
          <w:p w14:paraId="1CC77724">
            <w:pPr>
              <w:pStyle w:val="13"/>
              <w:numPr>
                <w:ilvl w:val="2"/>
                <w:numId w:val="5"/>
              </w:numPr>
              <w:spacing w:after="120"/>
              <w:ind w:left="1456" w:leftChars="0" w:hanging="322"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If RSRP prediction is reported, absolute/relative RSRP requirements applies to </w:t>
            </w:r>
          </w:p>
          <w:p w14:paraId="2B325966">
            <w:pPr>
              <w:pStyle w:val="13"/>
              <w:numPr>
                <w:ilvl w:val="3"/>
                <w:numId w:val="5"/>
              </w:numPr>
              <w:spacing w:after="120"/>
              <w:ind w:left="2160" w:leftChars="0" w:hanging="48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reported beams where SNR side condition is met</w:t>
            </w:r>
          </w:p>
          <w:p w14:paraId="459C762C">
            <w:pPr>
              <w:pStyle w:val="13"/>
              <w:numPr>
                <w:ilvl w:val="3"/>
                <w:numId w:val="5"/>
              </w:numPr>
              <w:spacing w:after="120"/>
              <w:ind w:left="2160" w:leftChars="0" w:hanging="48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exact RSRP reporting including both absolute and relative will be defined in RAN1</w:t>
            </w:r>
          </w:p>
          <w:p w14:paraId="1E6E40D7">
            <w:pPr>
              <w:pStyle w:val="13"/>
              <w:numPr>
                <w:ilvl w:val="3"/>
                <w:numId w:val="5"/>
              </w:numPr>
              <w:spacing w:after="120"/>
              <w:ind w:left="2160" w:leftChars="0" w:hanging="48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 xml:space="preserve">The related test can only apply to the top-K, where the value of K is FFS, beams. </w:t>
            </w:r>
          </w:p>
          <w:p w14:paraId="06BA3D31">
            <w:pPr>
              <w:pStyle w:val="13"/>
              <w:numPr>
                <w:ilvl w:val="4"/>
                <w:numId w:val="5"/>
              </w:numPr>
              <w:spacing w:after="120"/>
              <w:ind w:left="2880" w:leftChars="0" w:hanging="480" w:firstLineChars="0"/>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The legacy beam management test and parameters can be taken as the reference to decide the exact value of K</w:t>
            </w:r>
          </w:p>
          <w:p w14:paraId="2CAFA53D">
            <w:pPr>
              <w:pStyle w:val="13"/>
              <w:numPr>
                <w:ilvl w:val="4"/>
                <w:numId w:val="5"/>
              </w:numPr>
              <w:spacing w:after="120"/>
              <w:ind w:left="2880" w:leftChars="0" w:hanging="480" w:firstLineChars="0"/>
              <w:rPr>
                <w:rFonts w:hint="default" w:ascii="Times New Roman" w:hAnsi="Times New Roman" w:eastAsia="等线" w:cs="Times New Roman"/>
                <w:bCs/>
                <w:iCs/>
                <w:sz w:val="20"/>
                <w:szCs w:val="20"/>
                <w:vertAlign w:val="baseline"/>
                <w:lang w:val="en-US" w:eastAsia="zh-CN"/>
              </w:rPr>
            </w:pPr>
            <w:r>
              <w:rPr>
                <w:rFonts w:hint="default" w:ascii="Times New Roman" w:hAnsi="Times New Roman" w:cs="Times New Roman"/>
                <w:sz w:val="20"/>
                <w:szCs w:val="20"/>
                <w:lang w:eastAsia="zh-CN"/>
              </w:rPr>
              <w:t xml:space="preserve">The feasibility of the test will be further discussed and decided. </w:t>
            </w:r>
          </w:p>
        </w:tc>
      </w:tr>
    </w:tbl>
    <w:p w14:paraId="558ED89B">
      <w:pPr>
        <w:spacing w:after="180" w:line="240" w:lineRule="exact"/>
        <w:rPr>
          <w:rFonts w:hint="eastAsia" w:ascii="Times New Roman" w:hAnsi="Times New Roman" w:eastAsia="等线"/>
          <w:bCs/>
          <w:iCs/>
          <w:sz w:val="20"/>
          <w:szCs w:val="20"/>
          <w:lang w:val="en-US" w:eastAsia="zh-CN"/>
        </w:rPr>
      </w:pPr>
    </w:p>
    <w:p w14:paraId="520F127F">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It last meeting, it was agreed that if RSRP prediction is reported, absolute/relative RSRP requirements applies to reported beams where SNR side condition is met. The related test can only apply to the top-K, where the value of K is FFS, beams.</w:t>
      </w:r>
    </w:p>
    <w:p w14:paraId="0C529F40">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According to RAN1 agreements, it can be seen that only largest predicted RSRP is reported as absolute RSRP, other RSRP are reported as </w:t>
      </w:r>
      <w:r>
        <w:rPr>
          <w:rFonts w:hint="default" w:ascii="Times New Roman" w:hAnsi="Times New Roman" w:eastAsia="宋体" w:cs="Times New Roman"/>
          <w:sz w:val="20"/>
          <w:szCs w:val="20"/>
          <w:lang w:eastAsia="zh-CN"/>
        </w:rPr>
        <w:t>differential predicted RSRP with reference to the largest predicted RSRP</w:t>
      </w:r>
      <w:r>
        <w:rPr>
          <w:rFonts w:hint="eastAsia" w:ascii="Times New Roman" w:hAnsi="Times New Roman" w:cs="Times New Roman"/>
          <w:sz w:val="20"/>
          <w:szCs w:val="20"/>
          <w:lang w:val="en-US" w:eastAsia="zh-CN"/>
        </w:rPr>
        <w:t xml:space="preserve">. With this report mechanism, it is reasonable that absolute RSRP accuracy requirement applies to Top-1 of predicted beams. And relative accuracy requirements are applied to other beams. </w:t>
      </w:r>
      <w:r>
        <w:rPr>
          <w:rFonts w:hint="eastAsia" w:ascii="Times New Roman" w:hAnsi="Times New Roman" w:eastAsia="等线"/>
          <w:bCs/>
          <w:iCs/>
          <w:sz w:val="20"/>
          <w:szCs w:val="20"/>
          <w:lang w:val="en-US" w:eastAsia="zh-CN"/>
        </w:rPr>
        <w:t xml:space="preserve">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B63A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6716C08">
            <w:pPr>
              <w:spacing w:after="180" w:line="240" w:lineRule="exact"/>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RAN1#120bis</w:t>
            </w:r>
          </w:p>
          <w:p w14:paraId="058B06B8">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22E993DB">
            <w:pPr>
              <w:snapToGrid w:val="0"/>
              <w:spacing w:after="120" w:afterLines="5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For UE-sided model inference, support the following report format (i.e., CSI field mapping order) for BM-Case1, for beam information on predicted Top K beam(s) among a set of beams and RSRP of predicted Top K beam(s) among a set of beams</w:t>
            </w:r>
          </w:p>
          <w:tbl>
            <w:tblPr>
              <w:tblStyle w:val="10"/>
              <w:tblW w:w="5035" w:type="dxa"/>
              <w:jc w:val="center"/>
              <w:tblLayout w:type="autofit"/>
              <w:tblCellMar>
                <w:top w:w="0" w:type="dxa"/>
                <w:left w:w="0" w:type="dxa"/>
                <w:bottom w:w="0" w:type="dxa"/>
                <w:right w:w="0" w:type="dxa"/>
              </w:tblCellMar>
            </w:tblPr>
            <w:tblGrid>
              <w:gridCol w:w="5035"/>
            </w:tblGrid>
            <w:tr w14:paraId="7271FC3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47D893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w:t>
                  </w:r>
                </w:p>
              </w:tc>
            </w:tr>
            <w:tr w14:paraId="78B436B4">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B3C1FF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w:t>
                  </w:r>
                </w:p>
              </w:tc>
            </w:tr>
            <w:tr w14:paraId="4B7E7179">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88CECB8">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2E40A0D9">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2D3010C">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w:t>
                  </w:r>
                </w:p>
              </w:tc>
            </w:tr>
            <w:tr w14:paraId="2487A22E">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618FF2">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w:t>
                  </w:r>
                </w:p>
              </w:tc>
            </w:tr>
            <w:tr w14:paraId="08CC6D47">
              <w:tblPrEx>
                <w:tblCellMar>
                  <w:top w:w="0" w:type="dxa"/>
                  <w:left w:w="0" w:type="dxa"/>
                  <w:bottom w:w="0" w:type="dxa"/>
                  <w:right w:w="0" w:type="dxa"/>
                </w:tblCellMar>
              </w:tblPrEx>
              <w:trPr>
                <w:trHeight w:val="253"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17FC30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#2</w:t>
                  </w:r>
                </w:p>
              </w:tc>
            </w:tr>
            <w:tr w14:paraId="6758B4CA">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E821B7B">
                  <w:pPr>
                    <w:shd w:val="clear" w:color="auto" w:fill="FFFFFF"/>
                    <w:adjustRightInd w:val="0"/>
                    <w:snapToGrid w:val="0"/>
                    <w:ind w:left="819" w:leftChars="223" w:hanging="284" w:hangingChars="142"/>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34736AE6">
              <w:tblPrEx>
                <w:tblCellMar>
                  <w:top w:w="0" w:type="dxa"/>
                  <w:left w:w="0" w:type="dxa"/>
                  <w:bottom w:w="0" w:type="dxa"/>
                  <w:right w:w="0" w:type="dxa"/>
                </w:tblCellMar>
              </w:tblPrEx>
              <w:trPr>
                <w:trHeight w:val="241"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BBCF312">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sz w:val="20"/>
                      <w:szCs w:val="20"/>
                      <w:lang w:eastAsia="zh-CN"/>
                    </w:rPr>
                    <w:t>differential</w:t>
                  </w:r>
                  <w:r>
                    <w:rPr>
                      <w:rFonts w:hint="default" w:ascii="Times New Roman" w:hAnsi="Times New Roman" w:eastAsia="宋体" w:cs="Times New Roman"/>
                      <w:color w:val="000000"/>
                      <w:sz w:val="20"/>
                      <w:szCs w:val="20"/>
                    </w:rPr>
                    <w:t xml:space="preserve"> RSRP #K</w:t>
                  </w:r>
                </w:p>
              </w:tc>
            </w:tr>
          </w:tbl>
          <w:p w14:paraId="44B997BF">
            <w:pPr>
              <w:pStyle w:val="13"/>
              <w:numPr>
                <w:ilvl w:val="0"/>
                <w:numId w:val="6"/>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CRI or SSBRI #k is mapped to RSRP #k, where k = 1,2,…,K</w:t>
            </w:r>
          </w:p>
          <w:p w14:paraId="0FA530A4">
            <w:pPr>
              <w:pStyle w:val="13"/>
              <w:numPr>
                <w:ilvl w:val="0"/>
                <w:numId w:val="6"/>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RSRP #1 is absolute predicted RSRP</w:t>
            </w:r>
          </w:p>
          <w:p w14:paraId="4DB508C8">
            <w:pPr>
              <w:pStyle w:val="13"/>
              <w:numPr>
                <w:ilvl w:val="0"/>
                <w:numId w:val="6"/>
              </w:numPr>
              <w:spacing w:line="278" w:lineRule="auto"/>
              <w:ind w:leftChars="0"/>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Differential RSRP #2~#K are differential predicted RSRP with reference to the largest predicted RSRP corresponding to CRI or SSBRI #1</w:t>
            </w:r>
          </w:p>
          <w:p w14:paraId="62F63D35">
            <w:pPr>
              <w:rPr>
                <w:rFonts w:hint="default" w:ascii="Times New Roman" w:hAnsi="Times New Roman" w:eastAsia="等线" w:cs="Times New Roman"/>
                <w:sz w:val="20"/>
                <w:szCs w:val="20"/>
                <w:lang w:eastAsia="zh-CN"/>
              </w:rPr>
            </w:pPr>
          </w:p>
          <w:p w14:paraId="5EA7FA0B">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395ECD54">
            <w:pPr>
              <w:rPr>
                <w:rFonts w:hint="default" w:ascii="Times New Roman" w:hAnsi="Times New Roman" w:eastAsia="宋体" w:cs="Times New Roman"/>
                <w:color w:val="000000"/>
                <w:sz w:val="20"/>
                <w:szCs w:val="20"/>
                <w:lang w:eastAsia="zh-CN"/>
              </w:rPr>
            </w:pPr>
            <w:r>
              <w:rPr>
                <w:rFonts w:hint="default" w:ascii="Times New Roman" w:hAnsi="Times New Roman" w:eastAsia="宋体" w:cs="Times New Roman"/>
                <w:sz w:val="20"/>
                <w:szCs w:val="20"/>
                <w:lang w:eastAsia="zh-CN"/>
              </w:rPr>
              <w:t xml:space="preserve">For UE-sided model inference, support the following report format (i.e., CSI field mapping order) for BM-Case2, </w:t>
            </w:r>
            <w:r>
              <w:rPr>
                <w:rFonts w:hint="default" w:ascii="Times New Roman" w:hAnsi="Times New Roman" w:eastAsia="宋体" w:cs="Times New Roman"/>
                <w:color w:val="000000"/>
                <w:sz w:val="20"/>
                <w:szCs w:val="20"/>
                <w:lang w:eastAsia="zh-CN"/>
              </w:rPr>
              <w:t>for beam information on predicted Top K beam(s) among a set of beams and RSRP of predicted Top K beam(s) among a set of beams</w:t>
            </w:r>
          </w:p>
          <w:tbl>
            <w:tblPr>
              <w:tblStyle w:val="10"/>
              <w:tblW w:w="5035" w:type="dxa"/>
              <w:jc w:val="center"/>
              <w:tblLayout w:type="autofit"/>
              <w:tblCellMar>
                <w:top w:w="0" w:type="dxa"/>
                <w:left w:w="0" w:type="dxa"/>
                <w:bottom w:w="0" w:type="dxa"/>
                <w:right w:w="0" w:type="dxa"/>
              </w:tblCellMar>
            </w:tblPr>
            <w:tblGrid>
              <w:gridCol w:w="5035"/>
            </w:tblGrid>
            <w:tr w14:paraId="2193821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8158A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Time instance indicator</w:t>
                  </w:r>
                </w:p>
              </w:tc>
            </w:tr>
            <w:tr w14:paraId="02D403D2">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440495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#1</w:t>
                  </w:r>
                </w:p>
              </w:tc>
            </w:tr>
            <w:tr w14:paraId="18B4C84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2A6DA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#1</w:t>
                  </w:r>
                </w:p>
              </w:tc>
            </w:tr>
            <w:tr w14:paraId="7D62668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8064472">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0305B44A">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DF0B4E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#1</w:t>
                  </w:r>
                </w:p>
              </w:tc>
            </w:tr>
            <w:tr w14:paraId="2372E6AC">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0FE3FC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#2</w:t>
                  </w:r>
                </w:p>
              </w:tc>
            </w:tr>
            <w:tr w14:paraId="207E644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88294E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#2</w:t>
                  </w:r>
                </w:p>
              </w:tc>
            </w:tr>
            <w:tr w14:paraId="7421BDE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C2E76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398D8162">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C35210E">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#2</w:t>
                  </w:r>
                </w:p>
              </w:tc>
            </w:tr>
            <w:tr w14:paraId="67714CB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B7E52E">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586B343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2591A23">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#1 of time instance #N</w:t>
                  </w:r>
                </w:p>
              </w:tc>
            </w:tr>
            <w:tr w14:paraId="15914A7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1BF6F75">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#2 of time instance #N</w:t>
                  </w:r>
                </w:p>
              </w:tc>
            </w:tr>
            <w:tr w14:paraId="59915915">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A8D82D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7FB65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2C6CD7A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CRI or SSBRI #K of time instance #N</w:t>
                  </w:r>
                </w:p>
              </w:tc>
            </w:tr>
            <w:tr w14:paraId="7C43DDF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74B50B36">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RSRP #1 of time instance #1</w:t>
                  </w:r>
                </w:p>
              </w:tc>
            </w:tr>
            <w:tr w14:paraId="478AA419">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96C5D50">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#1</w:t>
                  </w:r>
                </w:p>
              </w:tc>
            </w:tr>
            <w:tr w14:paraId="1F8F500F">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D2679E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0DE181DD">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A3AFF44">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#1</w:t>
                  </w:r>
                </w:p>
              </w:tc>
            </w:tr>
            <w:tr w14:paraId="7D5DEF4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A8A227E">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#2</w:t>
                  </w:r>
                </w:p>
              </w:tc>
            </w:tr>
            <w:tr w14:paraId="22E7C641">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39A0DCC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#2</w:t>
                  </w:r>
                </w:p>
              </w:tc>
            </w:tr>
            <w:tr w14:paraId="6C67D5A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192F0A3F">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692D4BB8">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7CEAB0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#2</w:t>
                  </w:r>
                </w:p>
              </w:tc>
            </w:tr>
            <w:tr w14:paraId="6C2D8C0E">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49BE38A">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1FC910F3">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5114021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#1 of time instance #N</w:t>
                  </w:r>
                </w:p>
              </w:tc>
            </w:tr>
            <w:tr w14:paraId="6D082B7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4434535B">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#2 of time instance #N</w:t>
                  </w:r>
                </w:p>
              </w:tc>
            </w:tr>
            <w:tr w14:paraId="53EA1CC7">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66EC68D9">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w:t>
                  </w:r>
                </w:p>
              </w:tc>
            </w:tr>
            <w:tr w14:paraId="73007E00">
              <w:tblPrEx>
                <w:tblCellMar>
                  <w:top w:w="0" w:type="dxa"/>
                  <w:left w:w="0" w:type="dxa"/>
                  <w:bottom w:w="0" w:type="dxa"/>
                  <w:right w:w="0" w:type="dxa"/>
                </w:tblCellMar>
              </w:tblPrEx>
              <w:trPr>
                <w:trHeight w:val="150" w:hRule="atLeast"/>
                <w:jc w:val="center"/>
              </w:trPr>
              <w:tc>
                <w:tcPr>
                  <w:tcW w:w="5035" w:type="dxa"/>
                  <w:tcBorders>
                    <w:top w:val="single" w:color="000000" w:sz="8" w:space="0"/>
                    <w:left w:val="single" w:color="000000" w:sz="8" w:space="0"/>
                    <w:bottom w:val="single" w:color="000000" w:sz="8" w:space="0"/>
                    <w:right w:val="single" w:color="000000" w:sz="8" w:space="0"/>
                  </w:tcBorders>
                  <w:shd w:val="clear" w:color="auto" w:fill="auto"/>
                  <w:tcMar>
                    <w:top w:w="15" w:type="dxa"/>
                    <w:left w:w="108" w:type="dxa"/>
                    <w:bottom w:w="0" w:type="dxa"/>
                    <w:right w:w="108" w:type="dxa"/>
                  </w:tcMar>
                  <w:vAlign w:val="center"/>
                </w:tcPr>
                <w:p w14:paraId="03385E3D">
                  <w:pPr>
                    <w:shd w:val="clear" w:color="auto" w:fill="FFFFFF"/>
                    <w:adjustRightInd w:val="0"/>
                    <w:snapToGrid w:val="0"/>
                    <w:jc w:val="center"/>
                    <w:rPr>
                      <w:rFonts w:hint="default" w:ascii="Times New Roman" w:hAnsi="Times New Roman" w:eastAsia="宋体" w:cs="Times New Roman"/>
                      <w:color w:val="000000"/>
                      <w:sz w:val="20"/>
                      <w:szCs w:val="20"/>
                    </w:rPr>
                  </w:pPr>
                  <w:r>
                    <w:rPr>
                      <w:rFonts w:hint="default" w:ascii="Times New Roman" w:hAnsi="Times New Roman" w:eastAsia="宋体" w:cs="Times New Roman"/>
                      <w:color w:val="000000"/>
                      <w:sz w:val="20"/>
                      <w:szCs w:val="20"/>
                    </w:rPr>
                    <w:t>Differential RSRP #K of time instance #N</w:t>
                  </w:r>
                </w:p>
              </w:tc>
            </w:tr>
          </w:tbl>
          <w:p w14:paraId="70A67590">
            <w:pPr>
              <w:pStyle w:val="13"/>
              <w:numPr>
                <w:ilvl w:val="1"/>
                <w:numId w:val="7"/>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indicator exist if N &gt; 1</w:t>
            </w:r>
          </w:p>
          <w:p w14:paraId="4B37A353">
            <w:pPr>
              <w:pStyle w:val="13"/>
              <w:numPr>
                <w:ilvl w:val="1"/>
                <w:numId w:val="7"/>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size of CSI field for time instance indicator is </w:t>
            </w:r>
            <m:oMath>
              <m:d>
                <m:dPr>
                  <m:begChr m:val="⌈"/>
                  <m:endChr m:val="⌉"/>
                  <m:ctrlPr>
                    <w:rPr>
                      <w:rFonts w:hint="default" w:ascii="Cambria Math" w:hAnsi="Cambria Math" w:eastAsia="宋体" w:cs="Times New Roman"/>
                      <w:sz w:val="20"/>
                      <w:szCs w:val="20"/>
                      <w:lang w:eastAsia="zh-CN"/>
                    </w:rPr>
                  </m:ctrlPr>
                </m:dPr>
                <m:e>
                  <m:func>
                    <m:funcPr>
                      <m:ctrlPr>
                        <w:rPr>
                          <w:rFonts w:hint="default" w:ascii="Cambria Math" w:hAnsi="Cambria Math" w:eastAsia="宋体" w:cs="Times New Roman"/>
                          <w:sz w:val="20"/>
                          <w:szCs w:val="20"/>
                          <w:lang w:eastAsia="zh-CN"/>
                        </w:rPr>
                      </m:ctrlPr>
                    </m:funcPr>
                    <m:fName>
                      <m:sSub>
                        <m:sSubPr>
                          <m:ctrlPr>
                            <w:rPr>
                              <w:rFonts w:hint="default" w:ascii="Cambria Math" w:hAnsi="Cambria Math" w:eastAsia="宋体" w:cs="Times New Roman"/>
                              <w:sz w:val="20"/>
                              <w:szCs w:val="20"/>
                              <w:lang w:eastAsia="zh-CN"/>
                            </w:rPr>
                          </m:ctrlPr>
                        </m:sSubPr>
                        <m:e>
                          <m:r>
                            <m:rPr>
                              <m:sty m:val="p"/>
                            </m:rPr>
                            <w:rPr>
                              <w:rFonts w:hint="default" w:ascii="Cambria Math" w:hAnsi="Cambria Math" w:eastAsia="宋体" w:cs="Times New Roman"/>
                              <w:sz w:val="20"/>
                              <w:szCs w:val="20"/>
                              <w:lang w:eastAsia="zh-CN"/>
                            </w:rPr>
                            <m:t>log</m:t>
                          </m:r>
                          <m:ctrlPr>
                            <w:rPr>
                              <w:rFonts w:hint="default" w:ascii="Cambria Math" w:hAnsi="Cambria Math" w:eastAsia="宋体" w:cs="Times New Roman"/>
                              <w:sz w:val="20"/>
                              <w:szCs w:val="20"/>
                              <w:lang w:eastAsia="zh-CN"/>
                            </w:rPr>
                          </m:ctrlPr>
                        </m:e>
                        <m:sub>
                          <m:r>
                            <m:rPr>
                              <m:sty m:val="p"/>
                            </m:rPr>
                            <w:rPr>
                              <w:rFonts w:hint="default" w:ascii="Cambria Math" w:hAnsi="Cambria Math" w:eastAsia="宋体" w:cs="Times New Roman"/>
                              <w:sz w:val="20"/>
                              <w:szCs w:val="20"/>
                              <w:lang w:eastAsia="zh-CN"/>
                            </w:rPr>
                            <m:t>2</m:t>
                          </m:r>
                          <m:ctrlPr>
                            <w:rPr>
                              <w:rFonts w:hint="default" w:ascii="Cambria Math" w:hAnsi="Cambria Math" w:eastAsia="宋体" w:cs="Times New Roman"/>
                              <w:sz w:val="20"/>
                              <w:szCs w:val="20"/>
                              <w:lang w:eastAsia="zh-CN"/>
                            </w:rPr>
                          </m:ctrlPr>
                        </m:sub>
                      </m:sSub>
                      <m:ctrlPr>
                        <w:rPr>
                          <w:rFonts w:hint="default" w:ascii="Cambria Math" w:hAnsi="Cambria Math" w:eastAsia="宋体" w:cs="Times New Roman"/>
                          <w:sz w:val="20"/>
                          <w:szCs w:val="20"/>
                          <w:lang w:eastAsia="zh-CN"/>
                        </w:rPr>
                      </m:ctrlPr>
                    </m:fName>
                    <m:e>
                      <m:r>
                        <m:rPr/>
                        <w:rPr>
                          <w:rFonts w:hint="default" w:ascii="Cambria Math" w:hAnsi="Cambria Math" w:eastAsia="宋体" w:cs="Times New Roman"/>
                          <w:sz w:val="20"/>
                          <w:szCs w:val="20"/>
                          <w:lang w:eastAsia="zh-CN"/>
                        </w:rPr>
                        <m:t>N</m:t>
                      </m:r>
                      <m:ctrlPr>
                        <w:rPr>
                          <w:rFonts w:hint="default" w:ascii="Cambria Math" w:hAnsi="Cambria Math" w:eastAsia="宋体" w:cs="Times New Roman"/>
                          <w:sz w:val="20"/>
                          <w:szCs w:val="20"/>
                          <w:lang w:eastAsia="zh-CN"/>
                        </w:rPr>
                      </m:ctrlPr>
                    </m:e>
                  </m:func>
                  <m:ctrlPr>
                    <w:rPr>
                      <w:rFonts w:hint="default" w:ascii="Cambria Math" w:hAnsi="Cambria Math" w:eastAsia="宋体" w:cs="Times New Roman"/>
                      <w:sz w:val="20"/>
                      <w:szCs w:val="20"/>
                      <w:lang w:eastAsia="zh-CN"/>
                    </w:rPr>
                  </m:ctrlPr>
                </m:e>
              </m:d>
            </m:oMath>
          </w:p>
          <w:p w14:paraId="4D18138C">
            <w:pPr>
              <w:pStyle w:val="13"/>
              <w:numPr>
                <w:ilvl w:val="1"/>
                <w:numId w:val="7"/>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The value of time instance indicator n (n≥0) </w:t>
            </w:r>
            <w:r>
              <w:rPr>
                <w:rFonts w:hint="default" w:ascii="Times New Roman" w:hAnsi="Times New Roman" w:eastAsia="宋体" w:cs="Times New Roman"/>
                <w:color w:val="000000"/>
                <w:sz w:val="20"/>
                <w:szCs w:val="20"/>
                <w:lang w:eastAsia="en-US"/>
              </w:rPr>
              <w:t>corresponds to</w:t>
            </w:r>
            <w:r>
              <w:rPr>
                <w:rFonts w:hint="default" w:ascii="Times New Roman" w:hAnsi="Times New Roman" w:eastAsia="宋体" w:cs="Times New Roman"/>
                <w:sz w:val="20"/>
                <w:szCs w:val="20"/>
                <w:lang w:eastAsia="zh-CN"/>
              </w:rPr>
              <w:t xml:space="preserve"> the (n+1)-th earliest time instance in the N time instances</w:t>
            </w:r>
          </w:p>
          <w:p w14:paraId="3D49F9F2">
            <w:pPr>
              <w:pStyle w:val="13"/>
              <w:numPr>
                <w:ilvl w:val="1"/>
                <w:numId w:val="7"/>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#1 corresponds to the time instance indicated by the time instance indicator</w:t>
            </w:r>
          </w:p>
          <w:p w14:paraId="1C031754">
            <w:pPr>
              <w:pStyle w:val="13"/>
              <w:numPr>
                <w:ilvl w:val="1"/>
                <w:numId w:val="7"/>
              </w:numPr>
              <w:snapToGrid w:val="0"/>
              <w:ind w:left="42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Time instance #2~#N are mapped to the remaining N-1 time instance(s) other than time instance #1 based on the time domain order of the time instances</w:t>
            </w:r>
          </w:p>
          <w:p w14:paraId="0F379F89">
            <w:pPr>
              <w:pStyle w:val="13"/>
              <w:numPr>
                <w:ilvl w:val="2"/>
                <w:numId w:val="8"/>
              </w:numPr>
              <w:snapToGrid w:val="0"/>
              <w:ind w:left="840" w:leftChars="0"/>
              <w:jc w:val="both"/>
              <w:rPr>
                <w:rFonts w:hint="default" w:ascii="Times New Roman" w:hAnsi="Times New Roman" w:eastAsia="宋体" w:cs="Times New Roman"/>
                <w:sz w:val="20"/>
                <w:szCs w:val="20"/>
                <w:lang w:eastAsia="zh-CN"/>
              </w:rPr>
            </w:pPr>
            <w:r>
              <w:rPr>
                <w:rFonts w:hint="default" w:ascii="Times New Roman" w:hAnsi="Times New Roman" w:eastAsia="宋体" w:cs="Times New Roman"/>
                <w:sz w:val="20"/>
                <w:szCs w:val="20"/>
                <w:lang w:eastAsia="zh-CN"/>
              </w:rPr>
              <w:t xml:space="preserve">where time instance #2 is mapped to the earliest time instance from the N-1 time instance(s) </w:t>
            </w:r>
          </w:p>
          <w:p w14:paraId="34FC73E6">
            <w:pPr>
              <w:pStyle w:val="13"/>
              <w:numPr>
                <w:ilvl w:val="1"/>
                <w:numId w:val="9"/>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CRI or SSBRI #k is mapped to RSRP #k with the same time instance, where k = 1,2</w:t>
            </w:r>
            <w:r>
              <w:rPr>
                <w:rFonts w:hint="default" w:ascii="Times New Roman" w:hAnsi="Times New Roman" w:eastAsia="宋体" w:cs="Times New Roman"/>
                <w:color w:val="000000"/>
                <w:sz w:val="20"/>
                <w:szCs w:val="20"/>
                <w:lang w:eastAsia="zh-CN"/>
              </w:rPr>
              <w:t>,</w:t>
            </w:r>
            <w:r>
              <w:rPr>
                <w:rFonts w:hint="default" w:ascii="Times New Roman" w:hAnsi="Times New Roman" w:eastAsia="宋体" w:cs="Times New Roman"/>
                <w:color w:val="000000"/>
                <w:sz w:val="20"/>
                <w:szCs w:val="20"/>
                <w:lang w:eastAsia="en-US"/>
              </w:rPr>
              <w:t>…,K</w:t>
            </w:r>
          </w:p>
          <w:p w14:paraId="4066E5D5">
            <w:pPr>
              <w:pStyle w:val="13"/>
              <w:numPr>
                <w:ilvl w:val="1"/>
                <w:numId w:val="9"/>
              </w:numPr>
              <w:snapToGrid w:val="0"/>
              <w:ind w:left="420" w:leftChars="0"/>
              <w:jc w:val="both"/>
              <w:rPr>
                <w:rFonts w:hint="default" w:ascii="Times New Roman" w:hAnsi="Times New Roman" w:eastAsia="宋体" w:cs="Times New Roman"/>
                <w:color w:val="000000"/>
                <w:sz w:val="20"/>
                <w:szCs w:val="20"/>
                <w:lang w:eastAsia="en-US"/>
              </w:rPr>
            </w:pPr>
            <w:r>
              <w:rPr>
                <w:rFonts w:hint="default" w:ascii="Times New Roman" w:hAnsi="Times New Roman" w:eastAsia="宋体" w:cs="Times New Roman"/>
                <w:color w:val="000000"/>
                <w:sz w:val="20"/>
                <w:szCs w:val="20"/>
                <w:lang w:eastAsia="en-US"/>
              </w:rPr>
              <w:t>RSRP #1 of time instance #1 is absolute RSRP; and the remaining RSRP are differential RSRP with reference to the largest predicted RSRP corresponding to CRI or SSBRI #1 of time instance #1</w:t>
            </w:r>
          </w:p>
          <w:p w14:paraId="3F35C4C2">
            <w:pPr>
              <w:rPr>
                <w:rFonts w:hint="default" w:ascii="Times New Roman" w:hAnsi="Times New Roman" w:eastAsia="等线" w:cs="Times New Roman"/>
                <w:sz w:val="20"/>
                <w:szCs w:val="20"/>
                <w:lang w:eastAsia="zh-CN"/>
              </w:rPr>
            </w:pPr>
          </w:p>
          <w:p w14:paraId="08AEF92E">
            <w:pPr>
              <w:spacing w:after="180" w:line="240" w:lineRule="exact"/>
              <w:rPr>
                <w:rFonts w:hint="default" w:ascii="Times New Roman" w:hAnsi="Times New Roman" w:eastAsia="等线" w:cs="Times New Roman"/>
                <w:bCs/>
                <w:iCs/>
                <w:sz w:val="20"/>
                <w:szCs w:val="20"/>
                <w:vertAlign w:val="baseline"/>
                <w:lang w:val="en-US" w:eastAsia="zh-CN"/>
              </w:rPr>
            </w:pPr>
          </w:p>
        </w:tc>
      </w:tr>
    </w:tbl>
    <w:p w14:paraId="37FE8CAD">
      <w:pPr>
        <w:spacing w:after="180" w:line="240" w:lineRule="exact"/>
        <w:rPr>
          <w:rFonts w:hint="default" w:ascii="Times New Roman" w:hAnsi="Times New Roman" w:eastAsia="等线"/>
          <w:bCs/>
          <w:iCs/>
          <w:sz w:val="20"/>
          <w:szCs w:val="20"/>
          <w:lang w:val="en-US" w:eastAsia="zh-CN"/>
        </w:rPr>
      </w:pPr>
    </w:p>
    <w:p w14:paraId="2402F571">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reported RSRP prediction, the related test apply to top-K beams, where K is 1 for absolute RSRP accuracy requirement verification, and K is larger than 1 for relative accuracy requirements verification.</w:t>
      </w:r>
    </w:p>
    <w:p w14:paraId="7DD55564">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In RAN4#115 meeting, following agreements on metrics/KPIs for beam ID prediction are reached.</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1CEE8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ADC5B20">
            <w:pPr>
              <w:spacing w:after="120"/>
              <w:rPr>
                <w:rFonts w:hint="default" w:ascii="Times New Roman" w:hAnsi="Times New Roman" w:cs="Times New Roman"/>
                <w:b/>
                <w:sz w:val="20"/>
                <w:szCs w:val="20"/>
                <w:u w:val="single"/>
                <w:lang w:val="en-US" w:eastAsia="ko-KR"/>
              </w:rPr>
            </w:pPr>
            <w:r>
              <w:rPr>
                <w:rFonts w:hint="default" w:ascii="Times New Roman" w:hAnsi="Times New Roman" w:cs="Times New Roman"/>
                <w:b/>
                <w:bCs/>
                <w:iCs/>
                <w:sz w:val="20"/>
                <w:szCs w:val="20"/>
                <w:lang w:eastAsia="zh-CN"/>
              </w:rPr>
              <w:t>Agreement</w:t>
            </w:r>
            <w:r>
              <w:rPr>
                <w:rFonts w:hint="eastAsia" w:ascii="Times New Roman" w:hAnsi="Times New Roman" w:cs="Times New Roman"/>
                <w:b/>
                <w:bCs/>
                <w:iCs/>
                <w:sz w:val="20"/>
                <w:szCs w:val="20"/>
                <w:lang w:val="en-US" w:eastAsia="zh-CN"/>
              </w:rPr>
              <w:t xml:space="preserve"> in RAN4 #115meeting</w:t>
            </w:r>
          </w:p>
          <w:p w14:paraId="38DB2BBA">
            <w:pPr>
              <w:rPr>
                <w:rFonts w:hint="default" w:ascii="Times New Roman" w:hAnsi="Times New Roman" w:eastAsia="游明朝" w:cs="Times New Roman"/>
                <w:b/>
                <w:sz w:val="20"/>
                <w:szCs w:val="20"/>
                <w:u w:val="single"/>
                <w:lang w:eastAsia="ja-JP"/>
              </w:rPr>
            </w:pPr>
            <w:r>
              <w:rPr>
                <w:rFonts w:hint="default" w:ascii="Times New Roman" w:hAnsi="Times New Roman" w:cs="Times New Roman"/>
                <w:b/>
                <w:sz w:val="20"/>
                <w:szCs w:val="20"/>
                <w:u w:val="single"/>
                <w:lang w:eastAsia="ko-KR"/>
              </w:rPr>
              <w:t xml:space="preserve">Issue 2-1: Metrics/KPIs for </w:t>
            </w:r>
            <w:r>
              <w:rPr>
                <w:rFonts w:hint="default" w:ascii="Times New Roman" w:hAnsi="Times New Roman" w:eastAsia="游明朝" w:cs="Times New Roman"/>
                <w:b/>
                <w:sz w:val="20"/>
                <w:szCs w:val="20"/>
                <w:u w:val="single"/>
                <w:lang w:eastAsia="ja-JP"/>
              </w:rPr>
              <w:t>beam ID prediction</w:t>
            </w:r>
          </w:p>
          <w:p w14:paraId="0B1B1CCF">
            <w:pPr>
              <w:pStyle w:val="13"/>
              <w:numPr>
                <w:ilvl w:val="0"/>
                <w:numId w:val="10"/>
              </w:numPr>
              <w:overflowPunct w:val="0"/>
              <w:autoSpaceDE w:val="0"/>
              <w:autoSpaceDN w:val="0"/>
              <w:adjustRightInd w:val="0"/>
              <w:ind w:firstLineChars="0"/>
              <w:textAlignment w:val="baseline"/>
              <w:rPr>
                <w:rFonts w:hint="default" w:ascii="Times New Roman" w:hAnsi="Times New Roman" w:eastAsia="游明朝" w:cs="Times New Roman"/>
                <w:bCs/>
                <w:iCs/>
                <w:sz w:val="20"/>
                <w:szCs w:val="20"/>
                <w:lang w:eastAsia="ja-JP"/>
              </w:rPr>
            </w:pPr>
            <w:r>
              <w:rPr>
                <w:rFonts w:hint="default" w:ascii="Times New Roman" w:hAnsi="Times New Roman" w:cs="Times New Roman"/>
                <w:bCs/>
                <w:sz w:val="20"/>
                <w:szCs w:val="20"/>
                <w:lang w:eastAsia="ko-KR"/>
              </w:rPr>
              <w:t xml:space="preserve">Metrics/KPIs for </w:t>
            </w:r>
            <w:r>
              <w:rPr>
                <w:rFonts w:hint="default" w:ascii="Times New Roman" w:hAnsi="Times New Roman" w:eastAsia="游明朝" w:cs="Times New Roman"/>
                <w:bCs/>
                <w:sz w:val="20"/>
                <w:szCs w:val="20"/>
                <w:lang w:eastAsia="ja-JP"/>
              </w:rPr>
              <w:t>beam ID prediction, at least for the case if only beam ID is reported</w:t>
            </w:r>
            <w:r>
              <w:rPr>
                <w:rFonts w:hint="default" w:ascii="Times New Roman" w:hAnsi="Times New Roman" w:eastAsia="游明朝" w:cs="Times New Roman"/>
                <w:bCs/>
                <w:iCs/>
                <w:sz w:val="20"/>
                <w:szCs w:val="20"/>
                <w:lang w:eastAsia="ja-JP"/>
              </w:rPr>
              <w:t xml:space="preserve">: </w:t>
            </w:r>
          </w:p>
          <w:p w14:paraId="1BA625A9">
            <w:pPr>
              <w:pStyle w:val="13"/>
              <w:ind w:left="420" w:firstLine="0" w:firstLineChars="0"/>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successful rate for the correct prediction, </w:t>
            </w:r>
          </w:p>
          <w:p w14:paraId="18BB0D43">
            <w:pPr>
              <w:pStyle w:val="13"/>
              <w:numPr>
                <w:ilvl w:val="1"/>
                <w:numId w:val="10"/>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 xml:space="preserve">The correct prediction is considered as maximum ground-truth RSRP among top-K predicted beams larger than or equal to the ground-truth RSRP of the strongest genie-aided beam(s) – x dB, </w:t>
            </w:r>
          </w:p>
          <w:p w14:paraId="51613C19">
            <w:pPr>
              <w:pStyle w:val="13"/>
              <w:numPr>
                <w:ilvl w:val="1"/>
                <w:numId w:val="10"/>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top-N (N&lt;/=K) predicted beams have to be considered in the success rate evaluation</w:t>
            </w:r>
          </w:p>
          <w:p w14:paraId="1C8D48B5">
            <w:pPr>
              <w:pStyle w:val="13"/>
              <w:numPr>
                <w:ilvl w:val="2"/>
                <w:numId w:val="10"/>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N values</w:t>
            </w:r>
          </w:p>
          <w:p w14:paraId="390A1EF3">
            <w:pPr>
              <w:pStyle w:val="13"/>
              <w:numPr>
                <w:ilvl w:val="1"/>
                <w:numId w:val="10"/>
              </w:numPr>
              <w:overflowPunct w:val="0"/>
              <w:autoSpaceDE w:val="0"/>
              <w:autoSpaceDN w:val="0"/>
              <w:adjustRightInd w:val="0"/>
              <w:ind w:firstLineChars="0"/>
              <w:textAlignment w:val="baseline"/>
              <w:rPr>
                <w:rFonts w:hint="default" w:ascii="Times New Roman" w:hAnsi="Times New Roman" w:eastAsia="游明朝" w:cs="Times New Roman"/>
                <w:iCs/>
                <w:sz w:val="20"/>
                <w:szCs w:val="20"/>
                <w:lang w:eastAsia="ja-JP"/>
              </w:rPr>
            </w:pPr>
            <w:r>
              <w:rPr>
                <w:rFonts w:hint="default" w:ascii="Times New Roman" w:hAnsi="Times New Roman" w:eastAsia="游明朝" w:cs="Times New Roman"/>
                <w:iCs/>
                <w:sz w:val="20"/>
                <w:szCs w:val="20"/>
                <w:lang w:eastAsia="ja-JP"/>
              </w:rPr>
              <w:t>FFS on x values</w:t>
            </w:r>
          </w:p>
          <w:p w14:paraId="012E1623">
            <w:pP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iCs/>
                <w:sz w:val="20"/>
                <w:szCs w:val="20"/>
                <w:lang w:eastAsia="ja-JP"/>
              </w:rPr>
              <w:t>Note: if x=0 and N=1, it means Top-K/1 (%) : the percentage of "the Top-1 strongest beam is one of the Top-K predicted beams"</w:t>
            </w:r>
          </w:p>
        </w:tc>
      </w:tr>
    </w:tbl>
    <w:p w14:paraId="419DA9C3">
      <w:pPr>
        <w:spacing w:after="180" w:line="240" w:lineRule="exact"/>
        <w:rPr>
          <w:rFonts w:hint="eastAsia" w:ascii="Times New Roman" w:hAnsi="Times New Roman" w:eastAsia="等线"/>
          <w:bCs/>
          <w:iCs/>
          <w:sz w:val="20"/>
          <w:szCs w:val="20"/>
          <w:lang w:val="en-US" w:eastAsia="zh-CN"/>
        </w:rPr>
      </w:pPr>
    </w:p>
    <w:p w14:paraId="7328DFF3">
      <w:pPr>
        <w:spacing w:before="180" w:after="180" w:line="240" w:lineRule="exact"/>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According to RAN1 agreements on the performance moniroting metric for </w:t>
      </w:r>
      <w:r>
        <w:rPr>
          <w:rFonts w:hint="default" w:ascii="Times New Roman" w:hAnsi="Times New Roman"/>
          <w:sz w:val="20"/>
          <w:szCs w:val="20"/>
          <w:lang w:val="en-US" w:eastAsia="zh-CN"/>
        </w:rPr>
        <w:t>UE-sided AI/ML model for beam management</w:t>
      </w:r>
      <w:r>
        <w:rPr>
          <w:rFonts w:hint="eastAsia" w:ascii="Times New Roman" w:hAnsi="Times New Roman"/>
          <w:sz w:val="20"/>
          <w:szCs w:val="20"/>
          <w:lang w:val="en-US" w:eastAsia="zh-CN"/>
        </w:rPr>
        <w:t xml:space="preserve">, the </w:t>
      </w:r>
      <w:r>
        <w:rPr>
          <w:rFonts w:hint="default" w:ascii="Times New Roman" w:hAnsi="Times New Roman"/>
          <w:sz w:val="20"/>
          <w:szCs w:val="20"/>
          <w:lang w:val="en-US" w:eastAsia="zh-CN"/>
        </w:rPr>
        <w:t>Top 1 or Top K beam prediction accuracy is defined as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default" w:ascii="Times New Roman" w:hAnsi="Times New Roman"/>
          <w:sz w:val="20"/>
          <w:szCs w:val="20"/>
          <w:lang w:val="en-US" w:eastAsia="zh-CN"/>
        </w:rPr>
        <w:t xml:space="preserve"> M is configured by NW in CSI report configuration for monitoring</w:t>
      </w:r>
      <w:r>
        <w:rPr>
          <w:rFonts w:hint="eastAsia" w:ascii="Times New Roman" w:hAnsi="Times New Roman"/>
          <w:sz w:val="20"/>
          <w:szCs w:val="20"/>
          <w:lang w:val="en-US" w:eastAsia="zh-CN"/>
        </w:rPr>
        <w:t xml:space="preserve">. The candidate value of M is 1 or 2.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0592A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D6C74A6">
            <w:pPr>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sz w:val="20"/>
                <w:szCs w:val="20"/>
                <w:highlight w:val="green"/>
                <w:lang w:val="en-US" w:eastAsia="zh-CN"/>
              </w:rPr>
              <w:t xml:space="preserve">RAN1 </w:t>
            </w:r>
            <w:r>
              <w:rPr>
                <w:rFonts w:hint="default" w:ascii="Times New Roman" w:hAnsi="Times New Roman" w:eastAsia="等线" w:cs="Times New Roman"/>
                <w:sz w:val="20"/>
                <w:szCs w:val="20"/>
                <w:highlight w:val="green"/>
                <w:lang w:eastAsia="zh-CN"/>
              </w:rPr>
              <w:t>Agreement</w:t>
            </w:r>
            <w:r>
              <w:rPr>
                <w:rFonts w:hint="default" w:ascii="Times New Roman" w:hAnsi="Times New Roman" w:eastAsia="等线" w:cs="Times New Roman"/>
                <w:sz w:val="20"/>
                <w:szCs w:val="20"/>
                <w:highlight w:val="green"/>
                <w:lang w:val="en-US" w:eastAsia="zh-CN"/>
              </w:rPr>
              <w:t xml:space="preserve"> in RAN1#120bis</w:t>
            </w:r>
          </w:p>
          <w:p w14:paraId="64377BDC">
            <w:pPr>
              <w:tabs>
                <w:tab w:val="left" w:pos="720"/>
                <w:tab w:val="left" w:pos="1440"/>
              </w:tabs>
              <w:textAlignment w:val="center"/>
              <w:rPr>
                <w:rFonts w:hint="default" w:ascii="Times New Roman" w:hAnsi="Times New Roman" w:cs="Times New Roman"/>
                <w:sz w:val="20"/>
                <w:szCs w:val="20"/>
              </w:rPr>
            </w:pPr>
            <w:r>
              <w:rPr>
                <w:rFonts w:hint="default" w:ascii="Times New Roman" w:hAnsi="Times New Roman" w:cs="Times New Roman"/>
                <w:sz w:val="20"/>
                <w:szCs w:val="20"/>
              </w:rPr>
              <w:t>For UE-sided AI/ML model for beam management, for Option 2 (UE-assisted performance monitoring), the performance metric of Top 1 or Top K beam prediction accuracy is defined as:</w:t>
            </w:r>
          </w:p>
          <w:p w14:paraId="695FE556">
            <w:pPr>
              <w:numPr>
                <w:ilvl w:val="0"/>
                <w:numId w:val="11"/>
              </w:numPr>
              <w:textAlignment w:val="center"/>
              <w:rPr>
                <w:rFonts w:hint="default" w:ascii="Times New Roman" w:hAnsi="Times New Roman" w:cs="Times New Roman"/>
                <w:sz w:val="20"/>
                <w:szCs w:val="20"/>
              </w:rPr>
            </w:pPr>
            <w:r>
              <w:rPr>
                <w:rFonts w:hint="default" w:ascii="Times New Roman" w:hAnsi="Times New Roman" w:cs="Times New Roman"/>
                <w:sz w:val="20"/>
                <w:szCs w:val="20"/>
              </w:rPr>
              <w:t>At least one of the Top M beam(s) of the resource set(s) for monitoring is among Top-K predicted beam(s) of Set A</w:t>
            </w:r>
            <w:r>
              <w:rPr>
                <w:rFonts w:hint="default" w:ascii="Times New Roman" w:hAnsi="Times New Roman" w:eastAsia="等线" w:cs="Times New Roman"/>
                <w:sz w:val="20"/>
                <w:szCs w:val="20"/>
                <w:lang w:eastAsia="zh-CN"/>
              </w:rPr>
              <w:t xml:space="preserve"> (e.g., linked to at least one of the </w:t>
            </w:r>
            <w:r>
              <w:rPr>
                <w:rFonts w:hint="default" w:ascii="Times New Roman" w:hAnsi="Times New Roman" w:cs="Times New Roman"/>
                <w:sz w:val="20"/>
                <w:szCs w:val="20"/>
              </w:rPr>
              <w:t>Top-K predicted beam(s) of Set A</w:t>
            </w:r>
            <w:r>
              <w:rPr>
                <w:rFonts w:hint="default" w:ascii="Times New Roman" w:hAnsi="Times New Roman" w:eastAsia="等线" w:cs="Times New Roman"/>
                <w:sz w:val="20"/>
                <w:szCs w:val="20"/>
                <w:lang w:eastAsia="zh-CN"/>
              </w:rPr>
              <w:t xml:space="preserve"> based on certain rule or signalling)</w:t>
            </w:r>
          </w:p>
          <w:p w14:paraId="26B55D62">
            <w:pPr>
              <w:pStyle w:val="13"/>
              <w:numPr>
                <w:ilvl w:val="1"/>
                <w:numId w:val="11"/>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 xml:space="preserve">Where K is the number of predicted beam(s) in the corresponding inference report </w:t>
            </w:r>
            <w:r>
              <w:rPr>
                <w:rFonts w:hint="default" w:ascii="Times New Roman" w:hAnsi="Times New Roman" w:eastAsia="等线" w:cs="Times New Roman"/>
                <w:sz w:val="20"/>
                <w:szCs w:val="20"/>
                <w:lang w:eastAsia="zh-CN"/>
              </w:rPr>
              <w:t>per time instance</w:t>
            </w:r>
          </w:p>
          <w:p w14:paraId="17B63990">
            <w:pPr>
              <w:pStyle w:val="13"/>
              <w:numPr>
                <w:ilvl w:val="1"/>
                <w:numId w:val="11"/>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Where Top M beam(s) is the best M beam(s) based on L1-RSRP measurements of the resource set(s) for monitoring</w:t>
            </w:r>
          </w:p>
          <w:p w14:paraId="232D6D0F">
            <w:pPr>
              <w:pStyle w:val="13"/>
              <w:numPr>
                <w:ilvl w:val="1"/>
                <w:numId w:val="11"/>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is configured by NW in CSI report configuration for monitoring</w:t>
            </w:r>
          </w:p>
          <w:p w14:paraId="3C4374C7">
            <w:pPr>
              <w:pStyle w:val="13"/>
              <w:numPr>
                <w:ilvl w:val="2"/>
                <w:numId w:val="11"/>
              </w:numPr>
              <w:ind w:leftChars="0"/>
              <w:textAlignment w:val="center"/>
              <w:rPr>
                <w:rFonts w:hint="default" w:ascii="Times New Roman" w:hAnsi="Times New Roman" w:cs="Times New Roman"/>
                <w:sz w:val="20"/>
                <w:szCs w:val="20"/>
              </w:rPr>
            </w:pPr>
            <w:r>
              <w:rPr>
                <w:rFonts w:hint="default" w:ascii="Times New Roman" w:hAnsi="Times New Roman" w:cs="Times New Roman"/>
                <w:sz w:val="20"/>
                <w:szCs w:val="20"/>
              </w:rPr>
              <w:t>M= 1, 2</w:t>
            </w:r>
          </w:p>
          <w:p w14:paraId="169AAB50">
            <w:pPr>
              <w:pStyle w:val="13"/>
              <w:numPr>
                <w:ilvl w:val="1"/>
                <w:numId w:val="11"/>
              </w:numPr>
              <w:ind w:leftChars="0"/>
              <w:textAlignment w:val="center"/>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等线" w:cs="Times New Roman"/>
                <w:sz w:val="20"/>
                <w:szCs w:val="20"/>
                <w:lang w:eastAsia="zh-CN"/>
              </w:rPr>
              <w:t>FFS: detailed rule or signalling</w:t>
            </w:r>
          </w:p>
        </w:tc>
      </w:tr>
    </w:tbl>
    <w:p w14:paraId="17F16EDC">
      <w:pPr>
        <w:spacing w:after="180" w:line="240" w:lineRule="exact"/>
        <w:rPr>
          <w:rFonts w:hint="eastAsia" w:ascii="Times New Roman" w:hAnsi="Times New Roman" w:eastAsia="等线"/>
          <w:bCs/>
          <w:iCs/>
          <w:sz w:val="20"/>
          <w:szCs w:val="20"/>
          <w:lang w:val="en-US" w:eastAsia="zh-CN"/>
        </w:rPr>
      </w:pPr>
    </w:p>
    <w:p w14:paraId="0BAF7E45">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Even though RAN1 agreements are for monitoring metric, while RAN4 current discussion focus on inference metric. But both are for performance metric, the RAN1 agreements can be considered in RAN4 discussion.</w:t>
      </w:r>
    </w:p>
    <w:p w14:paraId="025C98F9">
      <w:pPr>
        <w:spacing w:after="180" w:line="240" w:lineRule="exact"/>
        <w:rPr>
          <w:rFonts w:hint="eastAsia" w:ascii="Times New Roman" w:hAnsi="Times New Roman" w:eastAsia="宋体" w:cs="Times New Roman"/>
          <w:iCs/>
          <w:sz w:val="20"/>
          <w:szCs w:val="20"/>
          <w:lang w:val="en-US" w:eastAsia="zh-CN"/>
        </w:rPr>
      </w:pPr>
      <w:r>
        <w:rPr>
          <w:rFonts w:hint="eastAsia" w:ascii="Times New Roman" w:hAnsi="Times New Roman" w:eastAsia="等线"/>
          <w:bCs/>
          <w:iCs/>
          <w:sz w:val="20"/>
          <w:szCs w:val="20"/>
          <w:lang w:val="en-US" w:eastAsia="zh-CN"/>
        </w:rPr>
        <w:t xml:space="preserve">The reason to introduce x in the definition of </w:t>
      </w:r>
      <w:r>
        <w:rPr>
          <w:rFonts w:hint="default" w:ascii="Times New Roman" w:hAnsi="Times New Roman" w:eastAsia="游明朝" w:cs="Times New Roman"/>
          <w:iCs/>
          <w:sz w:val="20"/>
          <w:szCs w:val="20"/>
          <w:lang w:eastAsia="ja-JP"/>
        </w:rPr>
        <w:t>correct prediction</w:t>
      </w:r>
      <w:r>
        <w:rPr>
          <w:rFonts w:hint="eastAsia" w:ascii="Times New Roman" w:hAnsi="Times New Roman" w:eastAsia="宋体" w:cs="Times New Roman"/>
          <w:iCs/>
          <w:sz w:val="20"/>
          <w:szCs w:val="20"/>
          <w:lang w:val="en-US" w:eastAsia="zh-CN"/>
        </w:rPr>
        <w:t xml:space="preserve"> is to allow UE to pass a test if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s top-1 predicted beam is adjacent to the top-1 strongest beam, since UE can not distinguish which is the best beam index due to measurement error. For example, when TE configures the setB and setA beams to be too close to each other and the actual measured RSRP of topK beams of setA lies within the range of UE</w:t>
      </w:r>
      <w:r>
        <w:rPr>
          <w:rFonts w:hint="default" w:ascii="Times New Roman" w:hAnsi="Times New Roman" w:eastAsia="宋体" w:cs="Times New Roman"/>
          <w:iCs/>
          <w:sz w:val="20"/>
          <w:szCs w:val="20"/>
          <w:lang w:val="en-US" w:eastAsia="zh-CN"/>
        </w:rPr>
        <w:t>’</w:t>
      </w:r>
      <w:r>
        <w:rPr>
          <w:rFonts w:hint="eastAsia" w:ascii="Times New Roman" w:hAnsi="Times New Roman" w:eastAsia="宋体" w:cs="Times New Roman"/>
          <w:iCs/>
          <w:sz w:val="20"/>
          <w:szCs w:val="20"/>
          <w:lang w:val="en-US" w:eastAsia="zh-CN"/>
        </w:rPr>
        <w:t xml:space="preserve"> s measurement error, UE will not be able to pass the test without x. </w:t>
      </w:r>
    </w:p>
    <w:p w14:paraId="1DDB8422">
      <w:pPr>
        <w:spacing w:after="180" w:line="240" w:lineRule="exact"/>
        <w:rPr>
          <w:rFonts w:hint="eastAsia" w:ascii="Times New Roman" w:hAnsi="Times New Roman"/>
          <w:sz w:val="20"/>
          <w:szCs w:val="20"/>
          <w:lang w:val="en-US" w:eastAsia="zh-CN"/>
        </w:rPr>
      </w:pPr>
      <w:r>
        <w:rPr>
          <w:rFonts w:hint="eastAsia" w:ascii="Times New Roman" w:hAnsi="Times New Roman" w:eastAsia="宋体" w:cs="Times New Roman"/>
          <w:iCs/>
          <w:sz w:val="20"/>
          <w:szCs w:val="20"/>
          <w:lang w:val="en-US" w:eastAsia="zh-CN"/>
        </w:rPr>
        <w:t xml:space="preserve">RAN1 agreements on </w:t>
      </w:r>
      <w:r>
        <w:rPr>
          <w:rFonts w:hint="default" w:ascii="Times New Roman" w:hAnsi="Times New Roman"/>
          <w:sz w:val="20"/>
          <w:szCs w:val="20"/>
          <w:lang w:val="en-US" w:eastAsia="zh-CN"/>
        </w:rPr>
        <w:t>Top 1 or Top K beam prediction accuracy is</w:t>
      </w:r>
      <w:r>
        <w:rPr>
          <w:rFonts w:hint="eastAsia" w:ascii="Times New Roman" w:hAnsi="Times New Roman"/>
          <w:sz w:val="20"/>
          <w:szCs w:val="20"/>
          <w:lang w:val="en-US" w:eastAsia="zh-CN"/>
        </w:rPr>
        <w:t xml:space="preserve">: at least </w:t>
      </w:r>
      <w:r>
        <w:rPr>
          <w:rFonts w:hint="default" w:ascii="Times New Roman" w:hAnsi="Times New Roman"/>
          <w:sz w:val="20"/>
          <w:szCs w:val="20"/>
          <w:lang w:val="en-US" w:eastAsia="zh-CN"/>
        </w:rPr>
        <w:t>one of the Top M beam(s) of the resource set(s) for monitoring is among Top-K predicted beam(s) of Set A</w:t>
      </w:r>
      <w:r>
        <w:rPr>
          <w:rFonts w:hint="eastAsia" w:ascii="Times New Roman" w:hAnsi="Times New Roman"/>
          <w:sz w:val="20"/>
          <w:szCs w:val="20"/>
          <w:lang w:val="en-US" w:eastAsia="zh-CN"/>
        </w:rPr>
        <w:t>.</w:t>
      </w:r>
      <w:r>
        <w:rPr>
          <w:rFonts w:hint="eastAsia" w:ascii="Times New Roman" w:hAnsi="Times New Roman" w:eastAsia="宋体" w:cs="Times New Roman"/>
          <w:iCs/>
          <w:sz w:val="20"/>
          <w:szCs w:val="20"/>
          <w:lang w:val="en-US" w:eastAsia="zh-CN"/>
        </w:rPr>
        <w:t xml:space="preserve"> In our view, the reason to introduce M in RAN1 is also to sovle the issue that UE may not distinguish which is the best beam index</w:t>
      </w:r>
      <w:r>
        <w:rPr>
          <w:rFonts w:hint="eastAsia" w:ascii="Times New Roman" w:hAnsi="Times New Roman" w:cs="Times New Roman"/>
          <w:iCs/>
          <w:sz w:val="20"/>
          <w:szCs w:val="20"/>
          <w:lang w:val="en-US" w:eastAsia="zh-CN"/>
        </w:rPr>
        <w:t xml:space="preserve"> due to measurement error</w:t>
      </w:r>
      <w:r>
        <w:rPr>
          <w:rFonts w:hint="eastAsia" w:ascii="Times New Roman" w:hAnsi="Times New Roman" w:eastAsia="宋体" w:cs="Times New Roman"/>
          <w:iCs/>
          <w:sz w:val="20"/>
          <w:szCs w:val="20"/>
          <w:lang w:val="en-US" w:eastAsia="zh-CN"/>
        </w:rPr>
        <w:t xml:space="preserve">. But RAN1 sovle this issue in another way. RAN1 definiton is </w:t>
      </w:r>
      <w:r>
        <w:rPr>
          <w:rFonts w:hint="eastAsia" w:ascii="Times New Roman" w:hAnsi="Times New Roman"/>
          <w:sz w:val="20"/>
          <w:szCs w:val="20"/>
          <w:lang w:val="en-US" w:eastAsia="zh-CN"/>
        </w:rPr>
        <w:t>similar as Top K/M (%), the percentage of "any one of the Top-M genie-aided beam is one of the Top-K predicted beams".</w:t>
      </w:r>
    </w:p>
    <w:p w14:paraId="4502ECE4">
      <w:pPr>
        <w:spacing w:after="180" w:line="240" w:lineRule="exact"/>
        <w:rPr>
          <w:rFonts w:hint="eastAsia" w:ascii="Times New Roman" w:hAnsi="Times New Roman" w:cs="Times New Roman"/>
          <w:iCs/>
          <w:sz w:val="20"/>
          <w:szCs w:val="20"/>
          <w:lang w:val="en-US" w:eastAsia="zh-CN"/>
        </w:rPr>
      </w:pPr>
      <w:r>
        <w:rPr>
          <w:rFonts w:hint="eastAsia" w:ascii="Times New Roman" w:hAnsi="Times New Roman"/>
          <w:sz w:val="20"/>
          <w:szCs w:val="20"/>
          <w:lang w:val="en-US" w:eastAsia="zh-CN"/>
        </w:rPr>
        <w:t xml:space="preserve">In RAN4 definition of </w:t>
      </w:r>
      <w:r>
        <w:rPr>
          <w:rFonts w:hint="default" w:ascii="Times New Roman" w:hAnsi="Times New Roman" w:eastAsia="游明朝" w:cs="Times New Roman"/>
          <w:iCs/>
          <w:sz w:val="20"/>
          <w:szCs w:val="20"/>
          <w:lang w:eastAsia="ja-JP"/>
        </w:rPr>
        <w:t>successful rate for the correct prediction</w:t>
      </w:r>
      <w:r>
        <w:rPr>
          <w:rFonts w:hint="eastAsia" w:ascii="Times New Roman" w:hAnsi="Times New Roman" w:eastAsia="宋体" w:cs="Times New Roman"/>
          <w:iCs/>
          <w:sz w:val="20"/>
          <w:szCs w:val="20"/>
          <w:lang w:val="en-US" w:eastAsia="zh-CN"/>
        </w:rPr>
        <w:t>, one FFS is whether top-N (N&lt;/=K) predicted beams have to be considered in the success rate evaluation. For N, there are two interpretentation. One interpretention is that N is uesd to refer a subset of K, which means the maximum ground-truth RSRP among is not selected from top-K predicted beams, but selected from top-</w:t>
      </w:r>
      <w:r>
        <w:rPr>
          <w:rFonts w:hint="eastAsia" w:ascii="Times New Roman" w:hAnsi="Times New Roman" w:cs="Times New Roman"/>
          <w:iCs/>
          <w:sz w:val="20"/>
          <w:szCs w:val="20"/>
          <w:lang w:val="en-US" w:eastAsia="zh-CN"/>
        </w:rPr>
        <w:t>N</w:t>
      </w:r>
      <w:r>
        <w:rPr>
          <w:rFonts w:hint="eastAsia" w:ascii="Times New Roman" w:hAnsi="Times New Roman" w:eastAsia="宋体" w:cs="Times New Roman"/>
          <w:iCs/>
          <w:sz w:val="20"/>
          <w:szCs w:val="20"/>
          <w:lang w:val="en-US" w:eastAsia="zh-CN"/>
        </w:rPr>
        <w:t xml:space="preserve"> predicted beams</w:t>
      </w:r>
      <w:r>
        <w:rPr>
          <w:rFonts w:hint="eastAsia" w:ascii="Times New Roman" w:hAnsi="Times New Roman" w:cs="Times New Roman"/>
          <w:iCs/>
          <w:sz w:val="20"/>
          <w:szCs w:val="20"/>
          <w:lang w:val="en-US" w:eastAsia="zh-CN"/>
        </w:rPr>
        <w:t xml:space="preserve">, N&lt;K. The other interpretention is that N refer to the the N of Top K/N(%). According to the note that if x=0 and N=1, it means Top-K/1 (%) : the percentage of "the Top-1 strongest beam is one of the Top-K predicted beams", it seems that the latter </w:t>
      </w:r>
      <w:r>
        <w:rPr>
          <w:rFonts w:hint="eastAsia" w:ascii="Times New Roman" w:hAnsi="Times New Roman" w:eastAsia="宋体" w:cs="Times New Roman"/>
          <w:iCs/>
          <w:sz w:val="20"/>
          <w:szCs w:val="20"/>
          <w:lang w:val="en-US" w:eastAsia="zh-CN"/>
        </w:rPr>
        <w:t>interpretention</w:t>
      </w:r>
      <w:r>
        <w:rPr>
          <w:rFonts w:hint="eastAsia" w:ascii="Times New Roman" w:hAnsi="Times New Roman" w:cs="Times New Roman"/>
          <w:iCs/>
          <w:sz w:val="20"/>
          <w:szCs w:val="20"/>
          <w:lang w:val="en-US" w:eastAsia="zh-CN"/>
        </w:rPr>
        <w:t xml:space="preserve"> is correct. With the understanding that N refer to the the N of Top K/N(%), </w:t>
      </w:r>
      <w:r>
        <w:rPr>
          <w:rFonts w:hint="eastAsia" w:ascii="Times New Roman" w:hAnsi="Times New Roman" w:eastAsia="宋体" w:cs="Times New Roman"/>
          <w:iCs/>
          <w:sz w:val="20"/>
          <w:szCs w:val="20"/>
          <w:lang w:val="en-US" w:eastAsia="zh-CN"/>
        </w:rPr>
        <w:t xml:space="preserve">we do not think both N&gt;1 and x of non-zero value need to be considered together, since </w:t>
      </w:r>
      <w:r>
        <w:rPr>
          <w:rFonts w:hint="eastAsia" w:ascii="Times New Roman" w:hAnsi="Times New Roman" w:cs="Times New Roman"/>
          <w:iCs/>
          <w:sz w:val="20"/>
          <w:szCs w:val="20"/>
          <w:lang w:val="en-US" w:eastAsia="zh-CN"/>
        </w:rPr>
        <w:t>considering both</w:t>
      </w:r>
      <w:r>
        <w:rPr>
          <w:rFonts w:hint="eastAsia" w:ascii="Times New Roman" w:hAnsi="Times New Roman" w:eastAsia="宋体" w:cs="Times New Roman"/>
          <w:iCs/>
          <w:sz w:val="20"/>
          <w:szCs w:val="20"/>
          <w:lang w:val="en-US" w:eastAsia="zh-CN"/>
        </w:rPr>
        <w:t xml:space="preserve"> will be </w:t>
      </w:r>
      <w:r>
        <w:rPr>
          <w:rFonts w:hint="eastAsia" w:ascii="Times New Roman" w:hAnsi="Times New Roman" w:cs="Times New Roman"/>
          <w:iCs/>
          <w:sz w:val="20"/>
          <w:szCs w:val="20"/>
          <w:lang w:val="en-US" w:eastAsia="zh-CN"/>
        </w:rPr>
        <w:t>double</w:t>
      </w:r>
      <w:r>
        <w:rPr>
          <w:rFonts w:hint="eastAsia" w:ascii="Times New Roman" w:hAnsi="Times New Roman" w:eastAsia="宋体" w:cs="Times New Roman"/>
          <w:iCs/>
          <w:sz w:val="20"/>
          <w:szCs w:val="20"/>
          <w:lang w:val="en-US" w:eastAsia="zh-CN"/>
        </w:rPr>
        <w:t xml:space="preserve"> relax the requirements. If x of non-zero value</w:t>
      </w:r>
      <w:r>
        <w:rPr>
          <w:rFonts w:hint="eastAsia" w:ascii="Times New Roman" w:hAnsi="Times New Roman" w:cs="Times New Roman"/>
          <w:iCs/>
          <w:sz w:val="20"/>
          <w:szCs w:val="20"/>
          <w:lang w:val="en-US" w:eastAsia="zh-CN"/>
        </w:rPr>
        <w:t>, N is 1. If x is zero, N is larger than 1.</w:t>
      </w:r>
    </w:p>
    <w:p w14:paraId="7D646195">
      <w:pPr>
        <w:spacing w:after="180" w:line="240" w:lineRule="exact"/>
        <w:rPr>
          <w:rFonts w:hint="default" w:ascii="Times New Roman" w:hAnsi="Times New Roman" w:eastAsia="宋体"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 xml:space="preserve">for </w:t>
      </w:r>
      <w:r>
        <w:rPr>
          <w:rFonts w:hint="eastAsia" w:ascii="Times New Roman" w:hAnsi="Times New Roman" w:eastAsia="宋体" w:cs="Times New Roman"/>
          <w:b/>
          <w:bCs/>
          <w:i/>
          <w:iCs w:val="0"/>
          <w:sz w:val="20"/>
          <w:szCs w:val="20"/>
          <w:lang w:val="en-US" w:eastAsia="zh-CN"/>
        </w:rPr>
        <w:t>successful rate for the correct prediction</w:t>
      </w:r>
      <w:r>
        <w:rPr>
          <w:rFonts w:hint="eastAsia" w:ascii="Times New Roman" w:hAnsi="Times New Roman" w:cs="Times New Roman"/>
          <w:b/>
          <w:bCs/>
          <w:i/>
          <w:iCs w:val="0"/>
          <w:sz w:val="20"/>
          <w:szCs w:val="20"/>
          <w:lang w:val="en-US" w:eastAsia="zh-CN"/>
        </w:rPr>
        <w:t xml:space="preserve">, for the FFS on top-N (N&lt;/=K) predicted beams have to be considered in the success rate evaluation, it is proposed that whether N value can be larger than 1 is related with x value. </w:t>
      </w:r>
    </w:p>
    <w:p w14:paraId="0DFB27D8">
      <w:pPr>
        <w:numPr>
          <w:ilvl w:val="0"/>
          <w:numId w:val="12"/>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320DB912">
      <w:pPr>
        <w:numPr>
          <w:ilvl w:val="0"/>
          <w:numId w:val="12"/>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58AD2B19">
      <w:pPr>
        <w:spacing w:after="180" w:line="240" w:lineRule="exact"/>
        <w:rPr>
          <w:rFonts w:hint="eastAsia" w:ascii="Times New Roman" w:hAnsi="Times New Roman"/>
          <w:sz w:val="20"/>
          <w:szCs w:val="20"/>
          <w:lang w:val="en-US" w:eastAsia="zh-CN"/>
        </w:rPr>
      </w:pPr>
      <w:r>
        <w:rPr>
          <w:rFonts w:hint="eastAsia" w:ascii="Times New Roman" w:hAnsi="Times New Roman"/>
          <w:sz w:val="20"/>
          <w:szCs w:val="20"/>
          <w:lang w:val="en-US" w:eastAsia="zh-CN"/>
        </w:rPr>
        <w:t>In RAN4 #114 meeting, it was agreed that i</w:t>
      </w:r>
      <w:r>
        <w:rPr>
          <w:rFonts w:hint="eastAsia" w:ascii="Times New Roman" w:hAnsi="Times New Roman"/>
          <w:sz w:val="20"/>
          <w:szCs w:val="20"/>
          <w:lang w:val="en-US" w:eastAsia="ja-JP"/>
        </w:rPr>
        <w:t>f RSRP and beam ID are reported</w:t>
      </w:r>
      <w:r>
        <w:rPr>
          <w:rFonts w:hint="eastAsia" w:ascii="Times New Roman" w:hAnsi="Times New Roman"/>
          <w:sz w:val="20"/>
          <w:szCs w:val="20"/>
          <w:lang w:val="en-US" w:eastAsia="zh-CN"/>
        </w:rPr>
        <w:t xml:space="preserve">, RSRP accuracy and Beam ID prediction accuracy will be the KPIs. We think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 xml:space="preserve">. Some companies argue that with RSRP accuracy requirements, no need to apply beam ID prediction accuracy requirements. In our view, it depends on how to define the RSRP accuracy requirements. When the RSRP requirements are defined very tight, if UE pass the RSRP accuracy test, it is reasonable to assume that the beam prediction performance can also be guaranteed. In this case. No need to apply beam ID prediction accuracy. However, when the RSRP requirements are defined not very tight, e.g. with large margin, even if UE pass the RSRP accuracy test, the beam prediction performance cannot be guaranteed. In this case, beam ID prediction accuracy requirements need to be applied. Normally, a certain margin will be considered in the RSRP accuracy requirements. With above consdieration, it is preferred that the successful rate for the correct prediction is also applied for the case that both </w:t>
      </w:r>
      <w:r>
        <w:rPr>
          <w:rFonts w:hint="eastAsia" w:ascii="Times New Roman" w:hAnsi="Times New Roman"/>
          <w:sz w:val="20"/>
          <w:szCs w:val="20"/>
          <w:lang w:val="en-US" w:eastAsia="ja-JP"/>
        </w:rPr>
        <w:t>RSRP and beam ID are reported</w:t>
      </w:r>
      <w:r>
        <w:rPr>
          <w:rFonts w:hint="eastAsia" w:ascii="Times New Roman" w:hAnsi="Times New Roman"/>
          <w:sz w:val="20"/>
          <w:szCs w:val="20"/>
          <w:lang w:val="en-US" w:eastAsia="zh-CN"/>
        </w:rPr>
        <w:t>.</w:t>
      </w:r>
    </w:p>
    <w:p w14:paraId="7DC80ACA">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3: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2D50F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4F670053">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 xml:space="preserve">Issue 2-2: </w:t>
            </w:r>
            <w:r>
              <w:rPr>
                <w:rFonts w:hint="default" w:ascii="Times New Roman" w:hAnsi="Times New Roman" w:eastAsia="游明朝" w:cs="Times New Roman"/>
                <w:b/>
                <w:sz w:val="20"/>
                <w:szCs w:val="20"/>
                <w:u w:val="single"/>
                <w:lang w:eastAsia="ja-JP"/>
              </w:rPr>
              <w:t>Absolute RSRP accuracy</w:t>
            </w:r>
            <w:r>
              <w:rPr>
                <w:rFonts w:hint="default" w:ascii="Times New Roman" w:hAnsi="Times New Roman" w:cs="Times New Roman"/>
                <w:b/>
                <w:sz w:val="20"/>
                <w:szCs w:val="20"/>
                <w:u w:val="single"/>
                <w:lang w:eastAsia="ko-KR"/>
              </w:rPr>
              <w:t xml:space="preserve"> </w:t>
            </w:r>
          </w:p>
          <w:p w14:paraId="2A810B5F">
            <w:pPr>
              <w:spacing w:after="120"/>
              <w:rPr>
                <w:rFonts w:hint="default" w:ascii="Times New Roman" w:hAnsi="Times New Roman" w:cs="Times New Roman"/>
                <w:iCs/>
                <w:sz w:val="20"/>
                <w:szCs w:val="20"/>
                <w:lang w:eastAsia="zh-CN"/>
              </w:rPr>
            </w:pPr>
            <w:r>
              <w:rPr>
                <w:rFonts w:hint="default" w:ascii="Times New Roman" w:hAnsi="Times New Roman" w:cs="Times New Roman"/>
                <w:iCs/>
                <w:sz w:val="20"/>
                <w:szCs w:val="20"/>
                <w:lang w:eastAsia="zh-CN"/>
              </w:rPr>
              <w:t>Agreement:</w:t>
            </w:r>
          </w:p>
          <w:p w14:paraId="009F1AE5">
            <w:pPr>
              <w:pStyle w:val="13"/>
              <w:numPr>
                <w:ilvl w:val="0"/>
                <w:numId w:val="13"/>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Absolute RSRP accuracy requirement applies to Top-1 of predicted beams at least</w:t>
            </w:r>
          </w:p>
          <w:p w14:paraId="5F38D8D6">
            <w:pPr>
              <w:pStyle w:val="13"/>
              <w:numPr>
                <w:ilvl w:val="1"/>
                <w:numId w:val="13"/>
              </w:numPr>
              <w:overflowPunct w:val="0"/>
              <w:autoSpaceDE w:val="0"/>
              <w:autoSpaceDN w:val="0"/>
              <w:adjustRightInd w:val="0"/>
              <w:spacing w:after="120"/>
              <w:ind w:firstLineChars="0"/>
              <w:textAlignment w:val="baseline"/>
              <w:rPr>
                <w:rFonts w:hint="default" w:ascii="Times New Roman" w:hAnsi="Times New Roman" w:cs="Times New Roman"/>
                <w:iCs/>
                <w:sz w:val="20"/>
                <w:szCs w:val="20"/>
                <w:lang w:eastAsia="zh-CN"/>
              </w:rPr>
            </w:pPr>
            <w:r>
              <w:rPr>
                <w:rFonts w:hint="default" w:ascii="Times New Roman" w:hAnsi="Times New Roman" w:eastAsia="游明朝" w:cs="Times New Roman"/>
                <w:sz w:val="20"/>
                <w:szCs w:val="20"/>
                <w:lang w:eastAsia="ja-JP"/>
              </w:rPr>
              <w:t>FFS whether to apply to other beams</w:t>
            </w:r>
          </w:p>
          <w:p w14:paraId="1FEF3AC3">
            <w:pPr>
              <w:rPr>
                <w:rFonts w:hint="default" w:ascii="Times New Roman" w:hAnsi="Times New Roman" w:eastAsia="游明朝" w:cs="Times New Roman"/>
                <w:sz w:val="20"/>
                <w:szCs w:val="20"/>
                <w:lang w:eastAsia="ja-JP"/>
              </w:rPr>
            </w:pPr>
          </w:p>
          <w:p w14:paraId="75958333">
            <w:pPr>
              <w:rPr>
                <w:rFonts w:hint="default" w:ascii="Times New Roman" w:hAnsi="Times New Roman" w:cs="Times New Roman"/>
                <w:b/>
                <w:sz w:val="20"/>
                <w:szCs w:val="20"/>
                <w:u w:val="single"/>
                <w:lang w:eastAsia="ko-KR"/>
              </w:rPr>
            </w:pPr>
            <w:r>
              <w:rPr>
                <w:rFonts w:hint="default" w:ascii="Times New Roman" w:hAnsi="Times New Roman" w:cs="Times New Roman"/>
                <w:b/>
                <w:sz w:val="20"/>
                <w:szCs w:val="20"/>
                <w:u w:val="single"/>
                <w:lang w:eastAsia="ko-KR"/>
              </w:rPr>
              <w:t>Issue 2-</w:t>
            </w:r>
            <w:r>
              <w:rPr>
                <w:rFonts w:hint="default" w:ascii="Times New Roman" w:hAnsi="Times New Roman" w:eastAsia="游明朝" w:cs="Times New Roman"/>
                <w:b/>
                <w:sz w:val="20"/>
                <w:szCs w:val="20"/>
                <w:u w:val="single"/>
                <w:lang w:eastAsia="ja-JP"/>
              </w:rPr>
              <w:t>3</w:t>
            </w:r>
            <w:r>
              <w:rPr>
                <w:rFonts w:hint="default" w:ascii="Times New Roman" w:hAnsi="Times New Roman" w:cs="Times New Roman"/>
                <w:b/>
                <w:sz w:val="20"/>
                <w:szCs w:val="20"/>
                <w:u w:val="single"/>
                <w:lang w:eastAsia="ko-KR"/>
              </w:rPr>
              <w:t xml:space="preserve">: </w:t>
            </w:r>
            <w:r>
              <w:rPr>
                <w:rFonts w:hint="default" w:ascii="Times New Roman" w:hAnsi="Times New Roman" w:eastAsia="游明朝" w:cs="Times New Roman"/>
                <w:b/>
                <w:sz w:val="20"/>
                <w:szCs w:val="20"/>
                <w:u w:val="single"/>
                <w:lang w:eastAsia="ja-JP"/>
              </w:rPr>
              <w:t>Relative RSRP accuracy</w:t>
            </w:r>
            <w:r>
              <w:rPr>
                <w:rFonts w:hint="default" w:ascii="Times New Roman" w:hAnsi="Times New Roman" w:cs="Times New Roman"/>
                <w:b/>
                <w:sz w:val="20"/>
                <w:szCs w:val="20"/>
                <w:u w:val="single"/>
                <w:lang w:eastAsia="ko-KR"/>
              </w:rPr>
              <w:t xml:space="preserve"> </w:t>
            </w:r>
          </w:p>
          <w:p w14:paraId="43F19303">
            <w:pPr>
              <w:spacing w:after="120"/>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Agreement:</w:t>
            </w:r>
          </w:p>
          <w:p w14:paraId="335686F4">
            <w:pPr>
              <w:pStyle w:val="13"/>
              <w:numPr>
                <w:ilvl w:val="0"/>
                <w:numId w:val="14"/>
              </w:numPr>
              <w:overflowPunct w:val="0"/>
              <w:autoSpaceDE w:val="0"/>
              <w:autoSpaceDN w:val="0"/>
              <w:adjustRightInd w:val="0"/>
              <w:spacing w:after="120"/>
              <w:ind w:left="426" w:firstLineChars="0"/>
              <w:textAlignment w:val="baseline"/>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RAN4 to use the follow as baseline for further discussions, if the relative RSRP accuracy requirement is defined</w:t>
            </w:r>
          </w:p>
          <w:p w14:paraId="05E610A6">
            <w:pPr>
              <w:pStyle w:val="13"/>
              <w:numPr>
                <w:ilvl w:val="1"/>
                <w:numId w:val="14"/>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Relative RSRP accuracy for reported beams during inference reporting = (predicted L1-RSRP of beam index i - reported L1-RSRP of beam index n) -  (ground truth of L1-RSRP of beam index i - ground truth of L1-RSRP of beam index n), [where the beam index n owns the largest reported value].</w:t>
            </w:r>
          </w:p>
          <w:p w14:paraId="1E043066">
            <w:pPr>
              <w:pStyle w:val="13"/>
              <w:numPr>
                <w:ilvl w:val="2"/>
                <w:numId w:val="14"/>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 xml:space="preserve">Reported L1-RSRP can be predicted, </w:t>
            </w:r>
          </w:p>
          <w:p w14:paraId="3B205467">
            <w:pPr>
              <w:pStyle w:val="13"/>
              <w:numPr>
                <w:ilvl w:val="2"/>
                <w:numId w:val="14"/>
              </w:numPr>
              <w:overflowPunct w:val="0"/>
              <w:autoSpaceDE w:val="0"/>
              <w:autoSpaceDN w:val="0"/>
              <w:adjustRightInd w:val="0"/>
              <w:spacing w:after="120"/>
              <w:ind w:left="1276"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ja-JP"/>
              </w:rPr>
              <w:t>FFS whether reported L1-RSRP can be measured RSRP</w:t>
            </w:r>
          </w:p>
          <w:p w14:paraId="10D5660F">
            <w:pPr>
              <w:pStyle w:val="13"/>
              <w:numPr>
                <w:ilvl w:val="1"/>
                <w:numId w:val="14"/>
              </w:numPr>
              <w:overflowPunct w:val="0"/>
              <w:autoSpaceDE w:val="0"/>
              <w:autoSpaceDN w:val="0"/>
              <w:adjustRightInd w:val="0"/>
              <w:spacing w:after="120"/>
              <w:ind w:left="851" w:firstLineChars="0"/>
              <w:textAlignment w:val="baseline"/>
              <w:rPr>
                <w:rFonts w:hint="default" w:ascii="Times New Roman" w:hAnsi="Times New Roman" w:cs="Times New Roman"/>
                <w:sz w:val="20"/>
                <w:szCs w:val="20"/>
                <w:lang w:eastAsia="zh-CN"/>
              </w:rPr>
            </w:pPr>
            <w:r>
              <w:rPr>
                <w:rFonts w:hint="default" w:ascii="Times New Roman" w:hAnsi="Times New Roman" w:eastAsia="游明朝" w:cs="Times New Roman"/>
                <w:sz w:val="20"/>
                <w:szCs w:val="20"/>
                <w:lang w:eastAsia="zh-CN"/>
              </w:rPr>
              <w:t>Relative RSRP accuracy requirements apply for Case 1, and FFS on whether it can apply for Case 2</w:t>
            </w:r>
          </w:p>
          <w:p w14:paraId="3F22B2E0">
            <w:pPr>
              <w:spacing w:after="180" w:line="240" w:lineRule="exact"/>
              <w:rPr>
                <w:rFonts w:hint="default" w:ascii="Times New Roman" w:hAnsi="Times New Roman" w:eastAsia="宋体" w:cs="Times New Roman"/>
                <w:sz w:val="20"/>
                <w:szCs w:val="20"/>
                <w:vertAlign w:val="baseline"/>
                <w:lang w:val="en-US" w:eastAsia="zh-CN"/>
              </w:rPr>
            </w:pPr>
          </w:p>
        </w:tc>
      </w:tr>
    </w:tbl>
    <w:p w14:paraId="6A732A08">
      <w:pPr>
        <w:spacing w:after="180" w:line="240" w:lineRule="exact"/>
        <w:rPr>
          <w:rFonts w:hint="default" w:ascii="Times New Roman" w:hAnsi="Times New Roman" w:eastAsia="宋体"/>
          <w:sz w:val="20"/>
          <w:szCs w:val="20"/>
          <w:lang w:val="en-US" w:eastAsia="zh-CN"/>
        </w:rPr>
      </w:pPr>
    </w:p>
    <w:p w14:paraId="50B42AE9">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One FFS for relative RSRP accuracy for case 1 is whether reported L1-RSRP can be measured RSRP. RAN1 agreed that for report content of inference results for UE-sided model for BM-Case 1, the RSRP of predicted beam(s)in the report of inference results, is the predicted RSRP, where the predicted RSRP is based on AI/ML output. It is clear that measured RSRP are not allowed to report. </w:t>
      </w:r>
    </w:p>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1A2A69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7EF329D0">
            <w:pPr>
              <w:spacing w:after="180" w:line="240" w:lineRule="exact"/>
              <w:rPr>
                <w:rFonts w:hint="default" w:ascii="Times New Roman" w:hAnsi="Times New Roman" w:eastAsia="等线" w:cs="Times New Roman"/>
                <w:sz w:val="20"/>
                <w:szCs w:val="20"/>
                <w:highlight w:val="green"/>
                <w:lang w:val="en-US" w:eastAsia="zh-CN"/>
              </w:rPr>
            </w:pPr>
            <w:r>
              <w:rPr>
                <w:rFonts w:hint="default" w:ascii="Times New Roman" w:hAnsi="Times New Roman" w:eastAsia="等线" w:cs="Times New Roman"/>
                <w:bCs/>
                <w:iCs/>
                <w:sz w:val="20"/>
                <w:szCs w:val="20"/>
                <w:highlight w:val="green"/>
                <w:vertAlign w:val="baseline"/>
                <w:lang w:val="en-US" w:eastAsia="zh-CN"/>
              </w:rPr>
              <w:t xml:space="preserve">RAN1 agreements in </w:t>
            </w:r>
            <w:r>
              <w:rPr>
                <w:rFonts w:hint="default" w:ascii="Times New Roman" w:hAnsi="Times New Roman" w:eastAsia="等线" w:cs="Times New Roman"/>
                <w:sz w:val="20"/>
                <w:szCs w:val="20"/>
                <w:highlight w:val="green"/>
                <w:lang w:val="en-US" w:eastAsia="zh-CN"/>
              </w:rPr>
              <w:t>RAN1#120</w:t>
            </w:r>
          </w:p>
          <w:p w14:paraId="6CE33748">
            <w:pPr>
              <w:rPr>
                <w:rFonts w:hint="default" w:ascii="Times New Roman" w:hAnsi="Times New Roman" w:eastAsia="等线" w:cs="Times New Roman"/>
                <w:sz w:val="20"/>
                <w:szCs w:val="20"/>
                <w:highlight w:val="green"/>
                <w:lang w:eastAsia="zh-CN"/>
              </w:rPr>
            </w:pPr>
            <w:r>
              <w:rPr>
                <w:rFonts w:hint="default" w:ascii="Times New Roman" w:hAnsi="Times New Roman" w:eastAsia="等线" w:cs="Times New Roman"/>
                <w:sz w:val="20"/>
                <w:szCs w:val="20"/>
                <w:highlight w:val="green"/>
                <w:lang w:eastAsia="zh-CN"/>
              </w:rPr>
              <w:t>Agreement</w:t>
            </w:r>
          </w:p>
          <w:p w14:paraId="66028FA1">
            <w:pPr>
              <w:tabs>
                <w:tab w:val="left" w:pos="720"/>
              </w:tabs>
              <w:rPr>
                <w:rFonts w:hint="default" w:ascii="Times New Roman" w:hAnsi="Times New Roman" w:eastAsia="Times New Roman" w:cs="Times New Roman"/>
                <w:sz w:val="20"/>
                <w:szCs w:val="20"/>
                <w:lang w:eastAsia="zh-CN"/>
              </w:rPr>
            </w:pPr>
            <w:r>
              <w:rPr>
                <w:rFonts w:hint="default" w:ascii="Times New Roman" w:hAnsi="Times New Roman" w:eastAsia="Times New Roman" w:cs="Times New Roman"/>
                <w:sz w:val="20"/>
                <w:szCs w:val="20"/>
                <w:lang w:eastAsia="zh-CN"/>
              </w:rPr>
              <w:t>For report content of inference results for UE-sided model for BM-Case 1, the RSRP of predicted beam(s)in the report of inference results, is the predicted RSRP, where the predicted RSRP is based on AI/ML output.</w:t>
            </w:r>
          </w:p>
          <w:p w14:paraId="3E5CEF18">
            <w:pPr>
              <w:rPr>
                <w:rFonts w:hint="default" w:ascii="Times New Roman" w:hAnsi="Times New Roman" w:eastAsia="等线" w:cs="Times New Roman"/>
                <w:sz w:val="20"/>
                <w:szCs w:val="20"/>
                <w:highlight w:val="green"/>
                <w:lang w:val="en-US" w:eastAsia="zh-CN"/>
              </w:rPr>
            </w:pPr>
            <w:r>
              <w:rPr>
                <w:rFonts w:hint="default" w:ascii="Times New Roman" w:hAnsi="Times New Roman" w:cs="Times New Roman"/>
                <w:sz w:val="20"/>
                <w:szCs w:val="20"/>
              </w:rPr>
              <w:t>Note: how to capture it in the spec is a separate discussion.</w:t>
            </w:r>
          </w:p>
        </w:tc>
      </w:tr>
    </w:tbl>
    <w:p w14:paraId="5295AEB1">
      <w:pPr>
        <w:spacing w:after="180" w:line="240" w:lineRule="exact"/>
        <w:rPr>
          <w:rFonts w:hint="eastAsia" w:ascii="Times New Roman" w:hAnsi="Times New Roman" w:eastAsia="等线"/>
          <w:bCs/>
          <w:iCs/>
          <w:sz w:val="20"/>
          <w:szCs w:val="20"/>
          <w:lang w:val="en-US" w:eastAsia="zh-CN"/>
        </w:rPr>
      </w:pPr>
    </w:p>
    <w:p w14:paraId="26CBDC4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216F797B">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Another FFS is whether beam index n owns the largest reported value. As discussed above, RAN1 agree that only largest predicted RSRP is reported as absolute RSRP, other RSRP are reported as differential predicted RSRP with reference to the largest predicted RSRP. With the agreements, it is reasonable that beam index n owns the largest reported value.</w:t>
      </w:r>
    </w:p>
    <w:p w14:paraId="6743FFBF">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relative RSRP accuracy, it is proposed that beam index n owns the largest reported value. </w:t>
      </w:r>
    </w:p>
    <w:p w14:paraId="6C233AC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Based on above consideration, for case 1, the relative RSRP accuracy is proposed as (predicted L1-RSRP of beam index i - predicted L1-RSRP of beam index n) - (ground truth of L1-RSRP of beam index i - ground truth of L1-RSRP of beam index n), where the beam index n owns the largest reported value.</w:t>
      </w:r>
    </w:p>
    <w:p w14:paraId="520B52CE">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BM case 1, it is proposed that </w:t>
      </w:r>
    </w:p>
    <w:p w14:paraId="73401C10">
      <w:pPr>
        <w:numPr>
          <w:ilvl w:val="0"/>
          <w:numId w:val="15"/>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The r</w:t>
      </w:r>
      <w:r>
        <w:rPr>
          <w:rFonts w:hint="eastAsia" w:ascii="Times New Roman" w:hAnsi="Times New Roman" w:eastAsia="等线"/>
          <w:b/>
          <w:bCs w:val="0"/>
          <w:i/>
          <w:iCs w:val="0"/>
          <w:color w:val="auto"/>
          <w:sz w:val="20"/>
          <w:szCs w:val="20"/>
          <w:lang w:val="en-US" w:eastAsia="zh-CN"/>
        </w:rPr>
        <w:t xml:space="preserve">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50CCE535">
      <w:pPr>
        <w:spacing w:after="180" w:line="240" w:lineRule="exact"/>
        <w:rPr>
          <w:rFonts w:hint="default"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BM case 2 is temporal downlink beam prediction for Set A of beams based on the historic measurement results of Set B of beams. The model output is the L1-RSRP prediction of furture N time instances with K beams for each time instances. According to RAN1 agreements on the inference report for BM case2, RSRP #1 of time instance #1 is absolute RSRP; and the remaining RSRP are differential RSRP with reference to the largest predicted RSRP corresponding to CRI or SSBRI #1 of time instance #1. Time instance #1 corresponds to the time instance indicated by the time instance indicator. Since multiple time instances are consdiered, the relative accuracy for BM case2 need to be updated to reflect different time instance. Based on above consideration, the relative accuracy for BM case2 is proposed as (predicted L1-RSRP of beam index i for time instance m - predicted L1-RSRP of beam index n) - (ground truth of L1-RSRP of beam index i for time instance m - ground truth of L1-RSRP of beam index n), where the beam index n owns the largest reported value, 1&lt;=m&lt;=M where M is the number of time instance. </w:t>
      </w:r>
    </w:p>
    <w:p w14:paraId="367735A1">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sz w:val="20"/>
          <w:szCs w:val="20"/>
          <w:lang w:val="en-US" w:eastAsia="zh-CN"/>
        </w:rPr>
        <w:t xml:space="preserve">Proposal 7: for </w:t>
      </w:r>
      <w:r>
        <w:rPr>
          <w:rFonts w:hint="eastAsia" w:ascii="Times New Roman" w:hAnsi="Times New Roman" w:eastAsia="等线"/>
          <w:b/>
          <w:bCs w:val="0"/>
          <w:i/>
          <w:iCs w:val="0"/>
          <w:color w:val="auto"/>
          <w:sz w:val="20"/>
          <w:szCs w:val="20"/>
          <w:lang w:val="en-US" w:eastAsia="zh-CN"/>
        </w:rPr>
        <w:t xml:space="preserve">BM case 2, it is proposed that </w:t>
      </w:r>
    </w:p>
    <w:p w14:paraId="386D7919">
      <w:pPr>
        <w:numPr>
          <w:ilvl w:val="0"/>
          <w:numId w:val="15"/>
        </w:numPr>
        <w:spacing w:after="180" w:line="240" w:lineRule="exact"/>
        <w:ind w:left="420" w:leftChars="0" w:hanging="420" w:firstLineChars="0"/>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5AB1DACB">
      <w:pPr>
        <w:spacing w:after="180" w:line="240" w:lineRule="exact"/>
        <w:rPr>
          <w:rFonts w:hint="eastAsia" w:ascii="Times New Roman" w:hAnsi="Times New Roman" w:eastAsia="等线"/>
          <w:b/>
          <w:bCs/>
          <w:i/>
          <w:iCs/>
          <w:sz w:val="20"/>
          <w:szCs w:val="20"/>
          <w:lang w:val="en-US" w:eastAsia="zh-CN"/>
        </w:rPr>
      </w:pPr>
    </w:p>
    <w:bookmarkEnd w:id="6"/>
    <w:bookmarkEnd w:id="7"/>
    <w:p w14:paraId="0AAB701D">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w:t>
      </w:r>
      <w:r>
        <w:rPr>
          <w:rFonts w:hint="eastAsia" w:ascii="Times New Roman" w:hAnsi="Times New Roman"/>
          <w:b w:val="0"/>
          <w:bCs w:val="0"/>
          <w:kern w:val="0"/>
          <w:sz w:val="36"/>
          <w:szCs w:val="36"/>
          <w:lang w:val="en-US" w:eastAsia="zh-CN"/>
        </w:rPr>
        <w:t>n</w:t>
      </w:r>
    </w:p>
    <w:p w14:paraId="0FD1933D">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discussion on</w:t>
      </w:r>
      <w:r>
        <w:rPr>
          <w:rFonts w:ascii="Times New Roman" w:hAnsi="Times New Roman"/>
          <w:sz w:val="20"/>
          <w:szCs w:val="20"/>
        </w:rPr>
        <w:t xml:space="preserve"> </w:t>
      </w:r>
      <w:r>
        <w:rPr>
          <w:rFonts w:hint="eastAsia" w:ascii="Times New Roman" w:hAnsi="Times New Roman"/>
          <w:sz w:val="20"/>
          <w:szCs w:val="20"/>
          <w:lang w:val="en-US" w:eastAsia="zh-CN"/>
        </w:rPr>
        <w:t>RRM requirements</w:t>
      </w:r>
      <w:r>
        <w:rPr>
          <w:rFonts w:hint="eastAsia" w:ascii="Times New Roman" w:hAnsi="Times New Roman"/>
          <w:sz w:val="20"/>
          <w:szCs w:val="20"/>
        </w:rPr>
        <w:t xml:space="preserve"> for beam management. The proposals are:</w:t>
      </w:r>
    </w:p>
    <w:p w14:paraId="626BE48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
          <w:bCs w:val="0"/>
          <w:i/>
          <w:iCs w:val="0"/>
          <w:sz w:val="20"/>
          <w:szCs w:val="20"/>
          <w:lang w:val="en-US" w:eastAsia="zh-CN"/>
        </w:rPr>
        <w:t>Proposal 1: for reported RSRP prediction, the related test apply to top-K beams, where K is 1 for absolute RSRP accuracy requirement verification, and K is larger than 1 for relative accuracy requirements verification.</w:t>
      </w:r>
    </w:p>
    <w:p w14:paraId="4822C2BF">
      <w:pPr>
        <w:spacing w:after="180" w:line="240" w:lineRule="exact"/>
        <w:rPr>
          <w:rFonts w:hint="default" w:ascii="Times New Roman" w:hAnsi="Times New Roman" w:eastAsia="宋体" w:cs="Times New Roman"/>
          <w:b/>
          <w:bCs/>
          <w:i/>
          <w:iCs w:val="0"/>
          <w:sz w:val="20"/>
          <w:szCs w:val="20"/>
          <w:lang w:val="en-US" w:eastAsia="zh-CN"/>
        </w:rPr>
      </w:pPr>
      <w:r>
        <w:rPr>
          <w:rFonts w:hint="eastAsia" w:ascii="Times New Roman" w:hAnsi="Times New Roman" w:eastAsia="宋体" w:cs="Times New Roman"/>
          <w:b/>
          <w:bCs/>
          <w:i/>
          <w:iCs w:val="0"/>
          <w:sz w:val="20"/>
          <w:szCs w:val="20"/>
          <w:lang w:val="en-US" w:eastAsia="zh-CN"/>
        </w:rPr>
        <w:t xml:space="preserve">Proposal </w:t>
      </w:r>
      <w:r>
        <w:rPr>
          <w:rFonts w:hint="eastAsia" w:ascii="Times New Roman" w:hAnsi="Times New Roman" w:cs="Times New Roman"/>
          <w:b/>
          <w:bCs/>
          <w:i/>
          <w:iCs w:val="0"/>
          <w:sz w:val="20"/>
          <w:szCs w:val="20"/>
          <w:lang w:val="en-US" w:eastAsia="zh-CN"/>
        </w:rPr>
        <w:t>2</w:t>
      </w:r>
      <w:r>
        <w:rPr>
          <w:rFonts w:hint="eastAsia" w:ascii="Times New Roman" w:hAnsi="Times New Roman" w:eastAsia="宋体" w:cs="Times New Roman"/>
          <w:b/>
          <w:bCs/>
          <w:i/>
          <w:iCs w:val="0"/>
          <w:sz w:val="20"/>
          <w:szCs w:val="20"/>
          <w:lang w:val="en-US" w:eastAsia="zh-CN"/>
        </w:rPr>
        <w:t xml:space="preserve">: </w:t>
      </w:r>
      <w:r>
        <w:rPr>
          <w:rFonts w:hint="eastAsia" w:ascii="Times New Roman" w:hAnsi="Times New Roman" w:cs="Times New Roman"/>
          <w:b/>
          <w:bCs/>
          <w:i/>
          <w:iCs w:val="0"/>
          <w:sz w:val="20"/>
          <w:szCs w:val="20"/>
          <w:lang w:val="en-US" w:eastAsia="zh-CN"/>
        </w:rPr>
        <w:t xml:space="preserve">for </w:t>
      </w:r>
      <w:r>
        <w:rPr>
          <w:rFonts w:hint="eastAsia" w:ascii="Times New Roman" w:hAnsi="Times New Roman" w:eastAsia="宋体" w:cs="Times New Roman"/>
          <w:b/>
          <w:bCs/>
          <w:i/>
          <w:iCs w:val="0"/>
          <w:sz w:val="20"/>
          <w:szCs w:val="20"/>
          <w:lang w:val="en-US" w:eastAsia="zh-CN"/>
        </w:rPr>
        <w:t>successful rate for the correct prediction</w:t>
      </w:r>
      <w:r>
        <w:rPr>
          <w:rFonts w:hint="eastAsia" w:ascii="Times New Roman" w:hAnsi="Times New Roman" w:cs="Times New Roman"/>
          <w:b/>
          <w:bCs/>
          <w:i/>
          <w:iCs w:val="0"/>
          <w:sz w:val="20"/>
          <w:szCs w:val="20"/>
          <w:lang w:val="en-US" w:eastAsia="zh-CN"/>
        </w:rPr>
        <w:t xml:space="preserve">, for the FFS on top-N (N&lt;/=K) predicted beams have to be considered in the success rate evaluation, it is proposed that whether N value can be larger than 1 is related with x value. </w:t>
      </w:r>
    </w:p>
    <w:p w14:paraId="11B4B934">
      <w:pPr>
        <w:numPr>
          <w:ilvl w:val="0"/>
          <w:numId w:val="12"/>
        </w:numPr>
        <w:spacing w:after="180" w:line="240" w:lineRule="exact"/>
        <w:ind w:left="420" w:leftChars="0" w:hanging="420" w:firstLineChars="0"/>
        <w:rPr>
          <w:rFonts w:hint="eastAsia"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Either x =0 and N&gt;1, or x of non-zero value and N=1 are OK;</w:t>
      </w:r>
    </w:p>
    <w:p w14:paraId="6D79E558">
      <w:pPr>
        <w:numPr>
          <w:ilvl w:val="0"/>
          <w:numId w:val="12"/>
        </w:numPr>
        <w:spacing w:after="180" w:line="240" w:lineRule="exact"/>
        <w:ind w:left="420" w:leftChars="0" w:hanging="420" w:firstLineChars="0"/>
        <w:rPr>
          <w:rFonts w:hint="default" w:ascii="Times New Roman" w:hAnsi="Times New Roman" w:cs="Times New Roman"/>
          <w:b/>
          <w:bCs/>
          <w:i/>
          <w:iCs w:val="0"/>
          <w:sz w:val="20"/>
          <w:szCs w:val="20"/>
          <w:lang w:val="en-US" w:eastAsia="zh-CN"/>
        </w:rPr>
      </w:pPr>
      <w:r>
        <w:rPr>
          <w:rFonts w:hint="eastAsia" w:ascii="Times New Roman" w:hAnsi="Times New Roman" w:cs="Times New Roman"/>
          <w:b/>
          <w:bCs/>
          <w:i/>
          <w:iCs w:val="0"/>
          <w:sz w:val="20"/>
          <w:szCs w:val="20"/>
          <w:lang w:val="en-US" w:eastAsia="zh-CN"/>
        </w:rPr>
        <w:t>It is not necessary that N&gt;1 and x of non-zero value are considered together</w:t>
      </w:r>
    </w:p>
    <w:p w14:paraId="150F432E">
      <w:pPr>
        <w:spacing w:after="180" w:line="240" w:lineRule="exact"/>
        <w:rPr>
          <w:rFonts w:hint="default" w:ascii="Times New Roman" w:hAnsi="Times New Roman" w:cs="Times New Roman"/>
          <w:b/>
          <w:bCs/>
          <w:i/>
          <w:iCs w:val="0"/>
          <w:sz w:val="20"/>
          <w:szCs w:val="20"/>
          <w:lang w:val="en-US" w:eastAsia="zh-CN"/>
        </w:rPr>
      </w:pPr>
      <w:r>
        <w:rPr>
          <w:rFonts w:hint="eastAsia" w:ascii="Times New Roman" w:hAnsi="Times New Roman"/>
          <w:b/>
          <w:bCs/>
          <w:i/>
          <w:iCs/>
          <w:sz w:val="20"/>
          <w:szCs w:val="20"/>
          <w:lang w:val="en-US" w:eastAsia="zh-CN"/>
        </w:rPr>
        <w:t xml:space="preserve">Proposal 3: for the case that both </w:t>
      </w:r>
      <w:r>
        <w:rPr>
          <w:rFonts w:hint="eastAsia" w:ascii="Times New Roman" w:hAnsi="Times New Roman"/>
          <w:b/>
          <w:bCs/>
          <w:i/>
          <w:iCs/>
          <w:sz w:val="20"/>
          <w:szCs w:val="20"/>
          <w:lang w:val="en-US" w:eastAsia="ja-JP"/>
        </w:rPr>
        <w:t>RSRP and beam ID are reported</w:t>
      </w:r>
      <w:r>
        <w:rPr>
          <w:rFonts w:hint="eastAsia" w:ascii="Times New Roman" w:hAnsi="Times New Roman"/>
          <w:b/>
          <w:bCs/>
          <w:i/>
          <w:iCs/>
          <w:sz w:val="20"/>
          <w:szCs w:val="20"/>
          <w:lang w:val="en-US" w:eastAsia="zh-CN"/>
        </w:rPr>
        <w:t xml:space="preserve">, it is proposed that both RSRP accuracy requirements and successful rate for the correct prediction are applied.    </w:t>
      </w:r>
    </w:p>
    <w:p w14:paraId="4594D50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4: for relative RSRP accuracy, it is proposed that the reported L1-RSRP cannot be measured RSRP, since RAN1 agreed that </w:t>
      </w:r>
      <w:r>
        <w:rPr>
          <w:rFonts w:hint="default" w:ascii="Times New Roman" w:hAnsi="Times New Roman" w:eastAsia="Times New Roman" w:cs="Times New Roman"/>
          <w:b/>
          <w:bCs w:val="0"/>
          <w:i/>
          <w:iCs w:val="0"/>
          <w:sz w:val="20"/>
          <w:szCs w:val="20"/>
          <w:lang w:eastAsia="zh-CN"/>
        </w:rPr>
        <w:t>the RSRP of predicted beam(s)in the report of inference results is the predicted RSRP</w:t>
      </w:r>
      <w:r>
        <w:rPr>
          <w:rFonts w:hint="eastAsia" w:ascii="Times New Roman" w:hAnsi="Times New Roman" w:eastAsia="Times New Roman" w:cs="Times New Roman"/>
          <w:b/>
          <w:bCs w:val="0"/>
          <w:i/>
          <w:iCs w:val="0"/>
          <w:sz w:val="20"/>
          <w:szCs w:val="20"/>
          <w:lang w:val="en-US" w:eastAsia="zh-CN"/>
        </w:rPr>
        <w:t xml:space="preserve"> which</w:t>
      </w:r>
      <w:r>
        <w:rPr>
          <w:rFonts w:hint="default" w:ascii="Times New Roman" w:hAnsi="Times New Roman" w:eastAsia="Times New Roman" w:cs="Times New Roman"/>
          <w:b/>
          <w:bCs w:val="0"/>
          <w:i/>
          <w:iCs w:val="0"/>
          <w:sz w:val="20"/>
          <w:szCs w:val="20"/>
          <w:lang w:eastAsia="zh-CN"/>
        </w:rPr>
        <w:t xml:space="preserve"> is based on AI/ML output.</w:t>
      </w:r>
    </w:p>
    <w:p w14:paraId="57FE9FC3">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5: for relative RSRP accuracy, it is proposed that beam index n owns the largest reported value. </w:t>
      </w:r>
    </w:p>
    <w:p w14:paraId="68787EDF">
      <w:pPr>
        <w:spacing w:after="180" w:line="240" w:lineRule="exact"/>
        <w:rPr>
          <w:rFonts w:hint="eastAsia"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6: for BM case 1, it is proposed that </w:t>
      </w:r>
    </w:p>
    <w:p w14:paraId="2218FF31">
      <w:pPr>
        <w:numPr>
          <w:ilvl w:val="0"/>
          <w:numId w:val="15"/>
        </w:numPr>
        <w:spacing w:after="180" w:line="240" w:lineRule="exact"/>
        <w:ind w:left="420" w:leftChars="0" w:hanging="420" w:firstLineChars="0"/>
        <w:rPr>
          <w:rFonts w:hint="default"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 xml:space="preserve">The relative RSRP accuracy for reported beams during inference reporting = (predicted L1-RSRP of beam index i - predicted L1-RSRP of beam index n) - (ground truth of L1-RSRP of beam index i - ground truth of L1-RSRP of beam index n), </w:t>
      </w:r>
      <w:r>
        <w:rPr>
          <w:rFonts w:hint="eastAsia" w:ascii="Times New Roman" w:hAnsi="Times New Roman" w:eastAsia="等线"/>
          <w:b/>
          <w:bCs w:val="0"/>
          <w:i/>
          <w:iCs w:val="0"/>
          <w:strike/>
          <w:dstrike w:val="0"/>
          <w:color w:val="auto"/>
          <w:sz w:val="20"/>
          <w:szCs w:val="20"/>
          <w:lang w:val="en-US" w:eastAsia="zh-CN"/>
        </w:rPr>
        <w:t>[</w:t>
      </w:r>
      <w:r>
        <w:rPr>
          <w:rFonts w:hint="eastAsia" w:ascii="Times New Roman" w:hAnsi="Times New Roman" w:eastAsia="等线"/>
          <w:b/>
          <w:bCs w:val="0"/>
          <w:i/>
          <w:iCs w:val="0"/>
          <w:color w:val="auto"/>
          <w:sz w:val="20"/>
          <w:szCs w:val="20"/>
          <w:lang w:val="en-US" w:eastAsia="zh-CN"/>
        </w:rPr>
        <w:t>where the beam index n owns the largest reported value</w:t>
      </w:r>
      <w:r>
        <w:rPr>
          <w:rFonts w:hint="eastAsia" w:ascii="Times New Roman" w:hAnsi="Times New Roman" w:eastAsia="等线"/>
          <w:b/>
          <w:bCs w:val="0"/>
          <w:i/>
          <w:iCs w:val="0"/>
          <w:strike/>
          <w:dstrike w:val="0"/>
          <w:color w:val="auto"/>
          <w:sz w:val="20"/>
          <w:szCs w:val="20"/>
          <w:lang w:val="en-US" w:eastAsia="zh-CN"/>
        </w:rPr>
        <w:t>]</w:t>
      </w:r>
    </w:p>
    <w:p w14:paraId="4BAE8E62">
      <w:pPr>
        <w:spacing w:after="180" w:line="240" w:lineRule="exact"/>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 xml:space="preserve">Proposal 7: for BM case 2, it is proposed that </w:t>
      </w:r>
    </w:p>
    <w:p w14:paraId="1C55BB26">
      <w:pPr>
        <w:numPr>
          <w:ilvl w:val="0"/>
          <w:numId w:val="15"/>
        </w:numPr>
        <w:spacing w:after="180" w:line="240" w:lineRule="exact"/>
        <w:ind w:left="420" w:leftChars="0" w:hanging="420" w:firstLineChars="0"/>
        <w:rPr>
          <w:rFonts w:hint="eastAsia" w:ascii="Times New Roman" w:hAnsi="Times New Roman" w:eastAsia="等线"/>
          <w:b/>
          <w:bCs w:val="0"/>
          <w:i/>
          <w:iCs w:val="0"/>
          <w:color w:val="auto"/>
          <w:sz w:val="20"/>
          <w:szCs w:val="20"/>
          <w:lang w:val="en-US" w:eastAsia="zh-CN"/>
        </w:rPr>
      </w:pPr>
      <w:r>
        <w:rPr>
          <w:rFonts w:hint="eastAsia" w:ascii="Times New Roman" w:hAnsi="Times New Roman" w:eastAsia="等线"/>
          <w:b/>
          <w:bCs w:val="0"/>
          <w:i/>
          <w:iCs w:val="0"/>
          <w:color w:val="auto"/>
          <w:sz w:val="20"/>
          <w:szCs w:val="20"/>
          <w:lang w:val="en-US" w:eastAsia="zh-CN"/>
        </w:rPr>
        <w:t>The relative RSRP accuracy for reported beams during inference reporting = (predicted L1-RSRP of beam index i for time instance m - predicted L1-RSRP of beam index n) - (ground truth of L1-RSRP of beam index i for time instance m - ground truth of L1-RSRP of beam index n), where the beam index n owns the largest reported value among all the predicted beams. 1&lt;=m&lt;=M where M is the number of time instance</w:t>
      </w:r>
    </w:p>
    <w:p w14:paraId="5F1CF3FB">
      <w:pPr>
        <w:spacing w:after="180" w:line="240" w:lineRule="exact"/>
        <w:rPr>
          <w:rFonts w:hint="eastAsia" w:ascii="Times New Roman" w:hAnsi="Times New Roman" w:eastAsia="等线"/>
          <w:b/>
          <w:bCs/>
          <w:i/>
          <w:iCs/>
          <w:sz w:val="20"/>
          <w:szCs w:val="20"/>
          <w:lang w:val="en-US" w:eastAsia="zh-CN"/>
        </w:rPr>
      </w:pPr>
    </w:p>
    <w:p w14:paraId="68A5D763">
      <w:pPr>
        <w:pStyle w:val="2"/>
        <w:widowControl/>
        <w:numPr>
          <w:ilvl w:val="0"/>
          <w:numId w:val="3"/>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31791BBB">
      <w:pPr>
        <w:pStyle w:val="15"/>
        <w:framePr w:wrap="auto" w:vAnchor="margin" w:hAnchor="text" w:yAlign="inline"/>
        <w:numPr>
          <w:ilvl w:val="0"/>
          <w:numId w:val="1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234039</w:t>
      </w:r>
      <w:r>
        <w:rPr>
          <w:rFonts w:ascii="Times" w:hAnsi="Times" w:eastAsia="宋体"/>
          <w:b w:val="0"/>
          <w:sz w:val="20"/>
          <w:lang w:eastAsia="zh-CN"/>
        </w:rPr>
        <w:t xml:space="preserve">, </w:t>
      </w:r>
      <w:r>
        <w:rPr>
          <w:rFonts w:hint="eastAsia" w:ascii="Times" w:hAnsi="Times" w:eastAsia="宋体"/>
          <w:b w:val="0"/>
          <w:sz w:val="20"/>
          <w:lang w:eastAsia="zh-CN"/>
        </w:rPr>
        <w:t>New WID on Artificial Intelligence (AI)/Machine Learning (ML) for NR Air Interface</w:t>
      </w:r>
    </w:p>
    <w:p w14:paraId="7EE3D56B">
      <w:pPr>
        <w:pStyle w:val="15"/>
        <w:framePr w:wrap="auto" w:vAnchor="margin" w:hAnchor="text" w:yAlign="inline"/>
        <w:numPr>
          <w:ilvl w:val="0"/>
          <w:numId w:val="16"/>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 xml:space="preserve">243244, </w:t>
      </w:r>
      <w:r>
        <w:rPr>
          <w:rFonts w:hint="eastAsia" w:ascii="Times" w:hAnsi="Times" w:eastAsia="宋体"/>
          <w:b w:val="0"/>
          <w:sz w:val="20"/>
          <w:lang w:eastAsia="zh-CN"/>
        </w:rPr>
        <w:t>Revised WID on Artificial Intelligence (AI)/Machine Learning (ML) for NR Air Interface</w:t>
      </w:r>
    </w:p>
    <w:p w14:paraId="6B6A316C">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R4-2511890</w:t>
      </w:r>
      <w:r>
        <w:rPr>
          <w:rFonts w:hint="eastAsia" w:ascii="Times" w:hAnsi="Times" w:eastAsia="宋体"/>
          <w:b w:val="0"/>
          <w:sz w:val="20"/>
          <w:lang w:val="en-US" w:eastAsia="zh-CN"/>
        </w:rPr>
        <w:t xml:space="preserve">, </w:t>
      </w:r>
      <w:r>
        <w:rPr>
          <w:rFonts w:hint="eastAsia" w:ascii="Times" w:hAnsi="Times" w:eastAsia="宋体"/>
          <w:b w:val="0"/>
          <w:sz w:val="20"/>
          <w:lang w:eastAsia="zh-CN"/>
        </w:rPr>
        <w:t>WF on AI/ML for air interface for [116][131], Qualcomm Incorporated</w:t>
      </w:r>
    </w:p>
    <w:p w14:paraId="31794DBD">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R4-2508080</w:t>
      </w:r>
      <w:r>
        <w:rPr>
          <w:rFonts w:hint="eastAsia" w:ascii="Times" w:hAnsi="Times" w:eastAsia="宋体"/>
          <w:b w:val="0"/>
          <w:sz w:val="20"/>
          <w:lang w:val="en-US" w:eastAsia="zh-CN"/>
        </w:rPr>
        <w:t>, WF on NR_AIML_air_part1, Qualcomm Incorporated</w:t>
      </w:r>
    </w:p>
    <w:p w14:paraId="53BFF7BE">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R4-2505105</w:t>
      </w:r>
      <w:r>
        <w:rPr>
          <w:rFonts w:hint="eastAsia" w:ascii="Times" w:hAnsi="Times" w:eastAsia="宋体"/>
          <w:b w:val="0"/>
          <w:sz w:val="20"/>
          <w:lang w:val="en-US" w:eastAsia="zh-CN"/>
        </w:rPr>
        <w:t xml:space="preserve">, </w:t>
      </w:r>
      <w:r>
        <w:rPr>
          <w:rFonts w:hint="eastAsia" w:ascii="Times" w:hAnsi="Times" w:eastAsia="宋体"/>
          <w:b w:val="0"/>
          <w:sz w:val="20"/>
          <w:lang w:eastAsia="zh-CN"/>
        </w:rPr>
        <w:t>WF on requirements for AI/ML air interface normative work</w:t>
      </w:r>
      <w:r>
        <w:rPr>
          <w:rFonts w:hint="eastAsia" w:ascii="Times" w:hAnsi="Times" w:eastAsia="宋体"/>
          <w:b w:val="0"/>
          <w:sz w:val="20"/>
          <w:lang w:val="en-US" w:eastAsia="zh-CN"/>
        </w:rPr>
        <w:t>, Qualcomm Incorporated</w:t>
      </w:r>
    </w:p>
    <w:p w14:paraId="52A96E26">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w:t>
      </w:r>
      <w:r>
        <w:rPr>
          <w:rFonts w:hint="eastAsia" w:ascii="Times" w:hAnsi="Times" w:eastAsia="宋体"/>
          <w:b w:val="0"/>
          <w:sz w:val="20"/>
          <w:lang w:val="en-US" w:eastAsia="zh-CN"/>
        </w:rPr>
        <w:t xml:space="preserve">502856, </w:t>
      </w:r>
      <w:r>
        <w:rPr>
          <w:rFonts w:hint="eastAsia" w:ascii="Times" w:hAnsi="Times" w:eastAsia="宋体"/>
          <w:b w:val="0"/>
          <w:sz w:val="20"/>
          <w:lang w:eastAsia="zh-CN"/>
        </w:rPr>
        <w:t>WF on the requirements for AI/ML air interfance</w:t>
      </w:r>
      <w:r>
        <w:rPr>
          <w:rFonts w:hint="eastAsia" w:ascii="Times" w:hAnsi="Times" w:eastAsia="宋体"/>
          <w:b w:val="0"/>
          <w:sz w:val="20"/>
          <w:lang w:val="en-US" w:eastAsia="zh-CN"/>
        </w:rPr>
        <w:t>, Qualcomm Incorporated</w:t>
      </w:r>
    </w:p>
    <w:p w14:paraId="3BA597AB">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R4-2420513</w:t>
      </w:r>
      <w:r>
        <w:rPr>
          <w:rFonts w:hint="eastAsia" w:ascii="Times" w:hAnsi="Times" w:eastAsia="宋体"/>
          <w:b w:val="0"/>
          <w:sz w:val="20"/>
          <w:lang w:val="en-US" w:eastAsia="zh-CN"/>
        </w:rPr>
        <w:t>, WF on AI/ML air interface part 1, Qualcomm Incorporated</w:t>
      </w:r>
    </w:p>
    <w:p w14:paraId="2B1A7047">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R4-2417212</w:t>
      </w:r>
      <w:r>
        <w:rPr>
          <w:rFonts w:hint="eastAsia" w:ascii="Times" w:hAnsi="Times" w:eastAsia="宋体"/>
          <w:b w:val="0"/>
          <w:sz w:val="20"/>
          <w:lang w:val="en-US" w:eastAsia="zh-CN"/>
        </w:rPr>
        <w:t>, WF on requirements for AI/ML air interface</w:t>
      </w:r>
      <w:r>
        <w:rPr>
          <w:rFonts w:hint="eastAsia" w:ascii="Times" w:hAnsi="Times" w:eastAsia="宋体"/>
          <w:b w:val="0"/>
          <w:sz w:val="20"/>
          <w:lang w:eastAsia="zh-CN"/>
        </w:rPr>
        <w:t>, Qualcomm Incorporated</w:t>
      </w:r>
    </w:p>
    <w:p w14:paraId="699BFAF0">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w:t>
      </w:r>
      <w:r>
        <w:rPr>
          <w:rFonts w:hint="eastAsia" w:ascii="Times" w:hAnsi="Times" w:eastAsia="宋体"/>
          <w:b w:val="0"/>
          <w:sz w:val="20"/>
          <w:lang w:val="en-US" w:eastAsia="zh-CN"/>
        </w:rPr>
        <w:t>4323</w:t>
      </w:r>
      <w:r>
        <w:rPr>
          <w:rFonts w:hint="eastAsia" w:ascii="Times" w:hAnsi="Times" w:eastAsia="宋体"/>
          <w:b w:val="0"/>
          <w:sz w:val="20"/>
          <w:lang w:eastAsia="zh-CN"/>
        </w:rPr>
        <w:t>, WF on AI/ML, Qualcomm Incorporated</w:t>
      </w:r>
    </w:p>
    <w:p w14:paraId="618F8EC5">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R4-2410570, WF on AI/ML, Qualcomm Incorporated</w:t>
      </w:r>
    </w:p>
    <w:p w14:paraId="0DB10E1D">
      <w:pPr>
        <w:pStyle w:val="15"/>
        <w:framePr w:wrap="auto" w:vAnchor="margin" w:hAnchor="text" w:yAlign="inline"/>
        <w:numPr>
          <w:ilvl w:val="0"/>
          <w:numId w:val="16"/>
        </w:numPr>
        <w:ind w:right="400"/>
        <w:jc w:val="both"/>
        <w:rPr>
          <w:rFonts w:ascii="Times" w:hAnsi="Times" w:eastAsia="宋体"/>
          <w:b w:val="0"/>
          <w:sz w:val="20"/>
          <w:lang w:eastAsia="zh-CN"/>
        </w:rPr>
      </w:pPr>
      <w:r>
        <w:rPr>
          <w:rFonts w:hint="eastAsia" w:ascii="Times" w:hAnsi="Times" w:eastAsia="宋体"/>
          <w:b w:val="0"/>
          <w:sz w:val="20"/>
          <w:lang w:eastAsia="zh-CN"/>
        </w:rPr>
        <w:t>R4-2406617, WF on AI/ML, Qualcomm Incorporated</w:t>
      </w:r>
    </w:p>
    <w:p w14:paraId="45973251">
      <w:pPr>
        <w:pStyle w:val="15"/>
        <w:framePr w:wrap="auto" w:vAnchor="margin" w:hAnchor="text" w:yAlign="inline"/>
        <w:ind w:right="400"/>
        <w:jc w:val="both"/>
        <w:rPr>
          <w:rFonts w:ascii="Times" w:hAnsi="Times" w:eastAsia="宋体"/>
          <w:b w:val="0"/>
          <w:sz w:val="20"/>
          <w:lang w:eastAsia="zh-CN"/>
        </w:rPr>
      </w:pPr>
      <w:r>
        <w:rPr>
          <w:rFonts w:hint="eastAsia" w:ascii="Times" w:hAnsi="Times" w:eastAsia="宋体"/>
          <w:b w:val="0"/>
          <w:sz w:val="20"/>
          <w:lang w:val="en-US" w:eastAsia="zh-CN"/>
        </w:rPr>
        <w:t xml:space="preserve">[5] 3GPP TR 38.843, Study on Artificial Intelligence (AI)/Machine Learning (ML) for NR air interface </w:t>
      </w:r>
    </w:p>
    <w:p w14:paraId="18CE6519">
      <w:pPr>
        <w:pStyle w:val="15"/>
        <w:framePr w:wrap="auto" w:vAnchor="margin" w:hAnchor="text" w:yAlign="inline"/>
        <w:ind w:right="400"/>
        <w:jc w:val="both"/>
        <w:rPr>
          <w:rFonts w:ascii="Times" w:hAnsi="Times" w:eastAsia="宋体"/>
          <w:b w:val="0"/>
          <w:sz w:val="20"/>
          <w:lang w:eastAsia="zh-CN"/>
        </w:rPr>
      </w:pPr>
    </w:p>
    <w:p w14:paraId="3E9138E2">
      <w:pPr>
        <w:pStyle w:val="15"/>
        <w:framePr w:wrap="auto" w:vAnchor="margin" w:hAnchor="text" w:yAlign="inline"/>
        <w:ind w:right="400"/>
        <w:jc w:val="both"/>
        <w:rPr>
          <w:rFonts w:hint="eastAsia" w:ascii="Times" w:hAnsi="Times" w:eastAsia="宋体"/>
          <w:b w:val="0"/>
          <w:sz w:val="20"/>
          <w:lang w:val="en-US" w:eastAsia="zh-CN"/>
        </w:rPr>
      </w:pPr>
    </w:p>
    <w:p w14:paraId="6F79A3B3"/>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roman"/>
    <w:pitch w:val="default"/>
    <w:sig w:usb0="00000000" w:usb1="00000000" w:usb2="00000030" w:usb3="00000000" w:csb0="0008009F" w:csb1="00000000"/>
  </w:font>
  <w:font w:name="游明朝">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049CE223"/>
    <w:multiLevelType w:val="multilevel"/>
    <w:tmpl w:val="049CE2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
    <w:nsid w:val="08997EE2"/>
    <w:multiLevelType w:val="multilevel"/>
    <w:tmpl w:val="08997EE2"/>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99E32F0"/>
    <w:multiLevelType w:val="multilevel"/>
    <w:tmpl w:val="099E32F0"/>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Arial" w:hAnsi="Arial"/>
      </w:rPr>
    </w:lvl>
    <w:lvl w:ilvl="3" w:tentative="0">
      <w:start w:val="1"/>
      <w:numFmt w:val="bullet"/>
      <w:lvlText w:val="o"/>
      <w:lvlJc w:val="left"/>
      <w:pPr>
        <w:ind w:left="1680" w:hanging="420"/>
      </w:pPr>
      <w:rPr>
        <w:rFonts w:hint="default" w:ascii="Courier New" w:hAnsi="Courier New" w:cs="Courier New"/>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4">
    <w:nsid w:val="163D4526"/>
    <w:multiLevelType w:val="multilevel"/>
    <w:tmpl w:val="163D4526"/>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175F427C"/>
    <w:multiLevelType w:val="multilevel"/>
    <w:tmpl w:val="175F427C"/>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strike w:val="0"/>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7">
    <w:nsid w:val="3AA46647"/>
    <w:multiLevelType w:val="multilevel"/>
    <w:tmpl w:val="3AA46647"/>
    <w:lvl w:ilvl="0" w:tentative="0">
      <w:start w:val="1"/>
      <w:numFmt w:val="decimal"/>
      <w:pStyle w:val="1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444D767D"/>
    <w:multiLevelType w:val="multilevel"/>
    <w:tmpl w:val="444D767D"/>
    <w:lvl w:ilvl="0" w:tentative="0">
      <w:start w:val="1"/>
      <w:numFmt w:val="bullet"/>
      <w:lvlText w:val=""/>
      <w:lvlJc w:val="left"/>
      <w:pPr>
        <w:ind w:left="420" w:hanging="420"/>
      </w:pPr>
      <w:rPr>
        <w:rFonts w:hint="default" w:ascii="Wingdings" w:hAnsi="Wingdings"/>
      </w:rPr>
    </w:lvl>
    <w:lvl w:ilvl="1" w:tentative="0">
      <w:start w:val="1"/>
      <w:numFmt w:val="bullet"/>
      <w:lvlText w:val="o"/>
      <w:lvlJc w:val="left"/>
      <w:pPr>
        <w:ind w:left="840" w:hanging="420"/>
      </w:pPr>
      <w:rPr>
        <w:rFonts w:hint="default" w:ascii="Courier New" w:hAnsi="Courier New" w:cs="Courier New"/>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9">
    <w:nsid w:val="4F000B23"/>
    <w:multiLevelType w:val="multilevel"/>
    <w:tmpl w:val="4F000B2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11">
    <w:nsid w:val="5A40026E"/>
    <w:multiLevelType w:val="multilevel"/>
    <w:tmpl w:val="5A40026E"/>
    <w:lvl w:ilvl="0" w:tentative="0">
      <w:start w:val="0"/>
      <w:numFmt w:val="bullet"/>
      <w:lvlText w:val="-"/>
      <w:lvlJc w:val="left"/>
      <w:pPr>
        <w:tabs>
          <w:tab w:val="left" w:pos="-420"/>
        </w:tabs>
        <w:ind w:left="300" w:hanging="360"/>
      </w:pPr>
      <w:rPr>
        <w:rFonts w:hint="default" w:ascii="Times New Roman" w:hAnsi="Times New Roman" w:eastAsia="Times New Roman" w:cs="Times New Roman"/>
      </w:rPr>
    </w:lvl>
    <w:lvl w:ilvl="1" w:tentative="0">
      <w:start w:val="1"/>
      <w:numFmt w:val="bullet"/>
      <w:lvlText w:val="o"/>
      <w:lvlJc w:val="left"/>
      <w:pPr>
        <w:tabs>
          <w:tab w:val="left" w:pos="-420"/>
        </w:tabs>
        <w:ind w:left="1020" w:hanging="360"/>
      </w:pPr>
      <w:rPr>
        <w:rFonts w:hint="default" w:ascii="Courier New" w:hAnsi="Courier New" w:cs="Courier New"/>
      </w:rPr>
    </w:lvl>
    <w:lvl w:ilvl="2" w:tentative="0">
      <w:start w:val="1"/>
      <w:numFmt w:val="bullet"/>
      <w:lvlText w:val=""/>
      <w:lvlJc w:val="left"/>
      <w:pPr>
        <w:tabs>
          <w:tab w:val="left" w:pos="-420"/>
        </w:tabs>
        <w:ind w:left="1740" w:hanging="360"/>
      </w:pPr>
      <w:rPr>
        <w:rFonts w:hint="default" w:ascii="Wingdings" w:hAnsi="Wingdings"/>
      </w:rPr>
    </w:lvl>
    <w:lvl w:ilvl="3" w:tentative="0">
      <w:start w:val="1"/>
      <w:numFmt w:val="bullet"/>
      <w:lvlText w:val=""/>
      <w:lvlJc w:val="left"/>
      <w:pPr>
        <w:tabs>
          <w:tab w:val="left" w:pos="-420"/>
        </w:tabs>
        <w:ind w:left="2460" w:hanging="360"/>
      </w:pPr>
      <w:rPr>
        <w:rFonts w:hint="default" w:ascii="Symbol" w:hAnsi="Symbol"/>
      </w:rPr>
    </w:lvl>
    <w:lvl w:ilvl="4" w:tentative="0">
      <w:start w:val="1"/>
      <w:numFmt w:val="bullet"/>
      <w:lvlText w:val="o"/>
      <w:lvlJc w:val="left"/>
      <w:pPr>
        <w:tabs>
          <w:tab w:val="left" w:pos="-420"/>
        </w:tabs>
        <w:ind w:left="3180" w:hanging="360"/>
      </w:pPr>
      <w:rPr>
        <w:rFonts w:hint="default" w:ascii="Courier New" w:hAnsi="Courier New" w:cs="Courier New"/>
      </w:rPr>
    </w:lvl>
    <w:lvl w:ilvl="5" w:tentative="0">
      <w:start w:val="1"/>
      <w:numFmt w:val="bullet"/>
      <w:lvlText w:val=""/>
      <w:lvlJc w:val="left"/>
      <w:pPr>
        <w:tabs>
          <w:tab w:val="left" w:pos="-420"/>
        </w:tabs>
        <w:ind w:left="3900" w:hanging="360"/>
      </w:pPr>
      <w:rPr>
        <w:rFonts w:hint="default" w:ascii="Wingdings" w:hAnsi="Wingdings"/>
      </w:rPr>
    </w:lvl>
    <w:lvl w:ilvl="6" w:tentative="0">
      <w:start w:val="1"/>
      <w:numFmt w:val="bullet"/>
      <w:lvlText w:val=""/>
      <w:lvlJc w:val="left"/>
      <w:pPr>
        <w:tabs>
          <w:tab w:val="left" w:pos="-420"/>
        </w:tabs>
        <w:ind w:left="4620" w:hanging="360"/>
      </w:pPr>
      <w:rPr>
        <w:rFonts w:hint="default" w:ascii="Symbol" w:hAnsi="Symbol"/>
      </w:rPr>
    </w:lvl>
    <w:lvl w:ilvl="7" w:tentative="0">
      <w:start w:val="1"/>
      <w:numFmt w:val="bullet"/>
      <w:lvlText w:val="o"/>
      <w:lvlJc w:val="left"/>
      <w:pPr>
        <w:tabs>
          <w:tab w:val="left" w:pos="-420"/>
        </w:tabs>
        <w:ind w:left="5340" w:hanging="360"/>
      </w:pPr>
      <w:rPr>
        <w:rFonts w:hint="default" w:ascii="Courier New" w:hAnsi="Courier New" w:cs="Courier New"/>
      </w:rPr>
    </w:lvl>
    <w:lvl w:ilvl="8" w:tentative="0">
      <w:start w:val="1"/>
      <w:numFmt w:val="bullet"/>
      <w:lvlText w:val=""/>
      <w:lvlJc w:val="left"/>
      <w:pPr>
        <w:tabs>
          <w:tab w:val="left" w:pos="-420"/>
        </w:tabs>
        <w:ind w:left="6060" w:hanging="360"/>
      </w:pPr>
      <w:rPr>
        <w:rFonts w:hint="default" w:ascii="Wingdings" w:hAnsi="Wingdings"/>
      </w:rPr>
    </w:lvl>
  </w:abstractNum>
  <w:abstractNum w:abstractNumId="12">
    <w:nsid w:val="647FE748"/>
    <w:multiLevelType w:val="singleLevel"/>
    <w:tmpl w:val="647FE748"/>
    <w:lvl w:ilvl="0" w:tentative="0">
      <w:start w:val="1"/>
      <w:numFmt w:val="bullet"/>
      <w:lvlText w:val=""/>
      <w:lvlJc w:val="left"/>
      <w:pPr>
        <w:ind w:left="420" w:hanging="420"/>
      </w:pPr>
      <w:rPr>
        <w:rFonts w:hint="default" w:ascii="Wingdings" w:hAnsi="Wingdings"/>
      </w:rPr>
    </w:lvl>
  </w:abstractNum>
  <w:abstractNum w:abstractNumId="13">
    <w:nsid w:val="67160101"/>
    <w:multiLevelType w:val="multilevel"/>
    <w:tmpl w:val="67160101"/>
    <w:lvl w:ilvl="0" w:tentative="0">
      <w:start w:val="1"/>
      <w:numFmt w:val="bullet"/>
      <w:lvlText w:val=""/>
      <w:lvlJc w:val="left"/>
      <w:pPr>
        <w:ind w:left="1520" w:hanging="440"/>
      </w:pPr>
      <w:rPr>
        <w:rFonts w:hint="default" w:ascii="Wingdings" w:hAnsi="Wingdings"/>
      </w:rPr>
    </w:lvl>
    <w:lvl w:ilvl="1" w:tentative="0">
      <w:start w:val="1"/>
      <w:numFmt w:val="bullet"/>
      <w:lvlText w:val=""/>
      <w:lvlJc w:val="left"/>
      <w:pPr>
        <w:ind w:left="1960" w:hanging="440"/>
      </w:pPr>
      <w:rPr>
        <w:rFonts w:hint="default" w:ascii="Wingdings" w:hAnsi="Wingdings"/>
      </w:rPr>
    </w:lvl>
    <w:lvl w:ilvl="2" w:tentative="0">
      <w:start w:val="1"/>
      <w:numFmt w:val="bullet"/>
      <w:lvlText w:val=""/>
      <w:lvlJc w:val="left"/>
      <w:pPr>
        <w:ind w:left="2400" w:hanging="440"/>
      </w:pPr>
      <w:rPr>
        <w:rFonts w:hint="default" w:ascii="Wingdings" w:hAnsi="Wingdings"/>
      </w:rPr>
    </w:lvl>
    <w:lvl w:ilvl="3" w:tentative="0">
      <w:start w:val="1"/>
      <w:numFmt w:val="bullet"/>
      <w:lvlText w:val=""/>
      <w:lvlJc w:val="left"/>
      <w:pPr>
        <w:ind w:left="2840" w:hanging="440"/>
      </w:pPr>
      <w:rPr>
        <w:rFonts w:hint="default" w:ascii="Wingdings" w:hAnsi="Wingdings"/>
      </w:rPr>
    </w:lvl>
    <w:lvl w:ilvl="4" w:tentative="0">
      <w:start w:val="1"/>
      <w:numFmt w:val="bullet"/>
      <w:lvlText w:val=""/>
      <w:lvlJc w:val="left"/>
      <w:pPr>
        <w:ind w:left="3280" w:hanging="440"/>
      </w:pPr>
      <w:rPr>
        <w:rFonts w:hint="default" w:ascii="Wingdings" w:hAnsi="Wingdings"/>
      </w:rPr>
    </w:lvl>
    <w:lvl w:ilvl="5" w:tentative="0">
      <w:start w:val="1"/>
      <w:numFmt w:val="bullet"/>
      <w:lvlText w:val=""/>
      <w:lvlJc w:val="left"/>
      <w:pPr>
        <w:ind w:left="3720" w:hanging="440"/>
      </w:pPr>
      <w:rPr>
        <w:rFonts w:hint="default" w:ascii="Wingdings" w:hAnsi="Wingdings"/>
      </w:rPr>
    </w:lvl>
    <w:lvl w:ilvl="6" w:tentative="0">
      <w:start w:val="1"/>
      <w:numFmt w:val="bullet"/>
      <w:lvlText w:val=""/>
      <w:lvlJc w:val="left"/>
      <w:pPr>
        <w:ind w:left="4160" w:hanging="440"/>
      </w:pPr>
      <w:rPr>
        <w:rFonts w:hint="default" w:ascii="Wingdings" w:hAnsi="Wingdings"/>
      </w:rPr>
    </w:lvl>
    <w:lvl w:ilvl="7" w:tentative="0">
      <w:start w:val="1"/>
      <w:numFmt w:val="bullet"/>
      <w:lvlText w:val=""/>
      <w:lvlJc w:val="left"/>
      <w:pPr>
        <w:ind w:left="4600" w:hanging="440"/>
      </w:pPr>
      <w:rPr>
        <w:rFonts w:hint="default" w:ascii="Wingdings" w:hAnsi="Wingdings"/>
      </w:rPr>
    </w:lvl>
    <w:lvl w:ilvl="8" w:tentative="0">
      <w:start w:val="1"/>
      <w:numFmt w:val="bullet"/>
      <w:lvlText w:val=""/>
      <w:lvlJc w:val="left"/>
      <w:pPr>
        <w:ind w:left="5040" w:hanging="440"/>
      </w:pPr>
      <w:rPr>
        <w:rFonts w:hint="default" w:ascii="Wingdings" w:hAnsi="Wingdings"/>
      </w:rPr>
    </w:lvl>
  </w:abstractNum>
  <w:abstractNum w:abstractNumId="14">
    <w:nsid w:val="710173C8"/>
    <w:multiLevelType w:val="multilevel"/>
    <w:tmpl w:val="710173C8"/>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lvlText w:val="%1.%2"/>
      <w:lvlJc w:val="left"/>
      <w:pPr>
        <w:tabs>
          <w:tab w:val="left" w:pos="576"/>
        </w:tabs>
        <w:ind w:left="576" w:hanging="576"/>
      </w:pPr>
      <w:rPr>
        <w:rFonts w:hint="default"/>
        <w:color w:val="000000"/>
        <w:u w:val="none"/>
      </w:rPr>
    </w:lvl>
    <w:lvl w:ilvl="2" w:tentative="0">
      <w:start w:val="1"/>
      <w:numFmt w:val="decimal"/>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15"/>
  </w:num>
  <w:num w:numId="2">
    <w:abstractNumId w:val="7"/>
  </w:num>
  <w:num w:numId="3">
    <w:abstractNumId w:val="6"/>
  </w:num>
  <w:num w:numId="4">
    <w:abstractNumId w:val="11"/>
  </w:num>
  <w:num w:numId="5">
    <w:abstractNumId w:val="10"/>
  </w:num>
  <w:num w:numId="6">
    <w:abstractNumId w:val="9"/>
  </w:num>
  <w:num w:numId="7">
    <w:abstractNumId w:val="8"/>
  </w:num>
  <w:num w:numId="8">
    <w:abstractNumId w:val="3"/>
  </w:num>
  <w:num w:numId="9">
    <w:abstractNumId w:val="2"/>
  </w:num>
  <w:num w:numId="10">
    <w:abstractNumId w:val="4"/>
  </w:num>
  <w:num w:numId="11">
    <w:abstractNumId w:val="5"/>
  </w:num>
  <w:num w:numId="12">
    <w:abstractNumId w:val="12"/>
  </w:num>
  <w:num w:numId="13">
    <w:abstractNumId w:val="14"/>
  </w:num>
  <w:num w:numId="14">
    <w:abstractNumId w:val="13"/>
  </w:num>
  <w:num w:numId="15">
    <w:abstractNumId w:val="1"/>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280610"/>
    <w:rsid w:val="01DC7BC0"/>
    <w:rsid w:val="020874E3"/>
    <w:rsid w:val="02366D2D"/>
    <w:rsid w:val="029045F8"/>
    <w:rsid w:val="02BB6F86"/>
    <w:rsid w:val="03315CCB"/>
    <w:rsid w:val="041E7AB7"/>
    <w:rsid w:val="04B0587E"/>
    <w:rsid w:val="05FD1662"/>
    <w:rsid w:val="063103EA"/>
    <w:rsid w:val="065345EF"/>
    <w:rsid w:val="07AF30A6"/>
    <w:rsid w:val="084A6C23"/>
    <w:rsid w:val="08C01BD2"/>
    <w:rsid w:val="0A12645E"/>
    <w:rsid w:val="0A7A49BE"/>
    <w:rsid w:val="0BDF4286"/>
    <w:rsid w:val="0CFD51A3"/>
    <w:rsid w:val="0DE85960"/>
    <w:rsid w:val="0E2315D2"/>
    <w:rsid w:val="0EB3632D"/>
    <w:rsid w:val="0EEF4E8D"/>
    <w:rsid w:val="0FDE2595"/>
    <w:rsid w:val="0FE50EF5"/>
    <w:rsid w:val="107700EF"/>
    <w:rsid w:val="13156148"/>
    <w:rsid w:val="151A3F0B"/>
    <w:rsid w:val="15685863"/>
    <w:rsid w:val="156D67CC"/>
    <w:rsid w:val="15774DC7"/>
    <w:rsid w:val="158970AB"/>
    <w:rsid w:val="15C5068C"/>
    <w:rsid w:val="16C20D68"/>
    <w:rsid w:val="16F371B0"/>
    <w:rsid w:val="17EE3251"/>
    <w:rsid w:val="1869036D"/>
    <w:rsid w:val="18C26AAD"/>
    <w:rsid w:val="19D35C0A"/>
    <w:rsid w:val="1A4B52AF"/>
    <w:rsid w:val="1B097409"/>
    <w:rsid w:val="1B8C2C7D"/>
    <w:rsid w:val="1BDE38AF"/>
    <w:rsid w:val="1C79747B"/>
    <w:rsid w:val="21A25EC1"/>
    <w:rsid w:val="21CD1190"/>
    <w:rsid w:val="22C91E20"/>
    <w:rsid w:val="239448A4"/>
    <w:rsid w:val="24BB4727"/>
    <w:rsid w:val="250671CD"/>
    <w:rsid w:val="25830931"/>
    <w:rsid w:val="259C54CD"/>
    <w:rsid w:val="27BB3844"/>
    <w:rsid w:val="295E6B72"/>
    <w:rsid w:val="2E263656"/>
    <w:rsid w:val="308E7578"/>
    <w:rsid w:val="3159659D"/>
    <w:rsid w:val="31C72739"/>
    <w:rsid w:val="32420EA7"/>
    <w:rsid w:val="3295408B"/>
    <w:rsid w:val="36311397"/>
    <w:rsid w:val="36915B95"/>
    <w:rsid w:val="372F00FC"/>
    <w:rsid w:val="397B647A"/>
    <w:rsid w:val="39DC502A"/>
    <w:rsid w:val="3A2D7A1A"/>
    <w:rsid w:val="3A692ADF"/>
    <w:rsid w:val="3A923B26"/>
    <w:rsid w:val="3ACA3C80"/>
    <w:rsid w:val="3ADD5C61"/>
    <w:rsid w:val="3CA05E05"/>
    <w:rsid w:val="3D0535AB"/>
    <w:rsid w:val="3DEB4836"/>
    <w:rsid w:val="3DEF01B7"/>
    <w:rsid w:val="3FB76397"/>
    <w:rsid w:val="40905E46"/>
    <w:rsid w:val="41C815FA"/>
    <w:rsid w:val="43FC159A"/>
    <w:rsid w:val="45185DAE"/>
    <w:rsid w:val="4582291E"/>
    <w:rsid w:val="46A636F7"/>
    <w:rsid w:val="47F77D5E"/>
    <w:rsid w:val="4815134F"/>
    <w:rsid w:val="49574F07"/>
    <w:rsid w:val="4B525B6F"/>
    <w:rsid w:val="4BF70D1F"/>
    <w:rsid w:val="4C147660"/>
    <w:rsid w:val="4C9C083E"/>
    <w:rsid w:val="4D115B26"/>
    <w:rsid w:val="4D3D03C8"/>
    <w:rsid w:val="4D4D0662"/>
    <w:rsid w:val="4D85114F"/>
    <w:rsid w:val="4F234726"/>
    <w:rsid w:val="519613CC"/>
    <w:rsid w:val="5217567C"/>
    <w:rsid w:val="549E0D64"/>
    <w:rsid w:val="563034C0"/>
    <w:rsid w:val="566930C6"/>
    <w:rsid w:val="570617B9"/>
    <w:rsid w:val="57B0086C"/>
    <w:rsid w:val="5879537F"/>
    <w:rsid w:val="5999038C"/>
    <w:rsid w:val="5A715FC6"/>
    <w:rsid w:val="5AC558FB"/>
    <w:rsid w:val="5AC66592"/>
    <w:rsid w:val="5B2B0B23"/>
    <w:rsid w:val="5CBC141D"/>
    <w:rsid w:val="5D0B4E13"/>
    <w:rsid w:val="5DE0757A"/>
    <w:rsid w:val="5DE63D68"/>
    <w:rsid w:val="5E145FE7"/>
    <w:rsid w:val="5E2B562E"/>
    <w:rsid w:val="5E47553D"/>
    <w:rsid w:val="5E6261E1"/>
    <w:rsid w:val="5ED80E84"/>
    <w:rsid w:val="62A95749"/>
    <w:rsid w:val="62D046AC"/>
    <w:rsid w:val="634877EE"/>
    <w:rsid w:val="644D521F"/>
    <w:rsid w:val="65674A25"/>
    <w:rsid w:val="68CA01FA"/>
    <w:rsid w:val="69567192"/>
    <w:rsid w:val="6A52659E"/>
    <w:rsid w:val="6B870356"/>
    <w:rsid w:val="6BE35B73"/>
    <w:rsid w:val="6C107A65"/>
    <w:rsid w:val="6CCE4B92"/>
    <w:rsid w:val="6D092287"/>
    <w:rsid w:val="6D205895"/>
    <w:rsid w:val="6D7E0FF0"/>
    <w:rsid w:val="6DF758F9"/>
    <w:rsid w:val="731743ED"/>
    <w:rsid w:val="74126C56"/>
    <w:rsid w:val="74C23D1D"/>
    <w:rsid w:val="75886832"/>
    <w:rsid w:val="773771F4"/>
    <w:rsid w:val="79263F52"/>
    <w:rsid w:val="7AA34743"/>
    <w:rsid w:val="7AC06311"/>
    <w:rsid w:val="7C3F4164"/>
    <w:rsid w:val="7C5D034E"/>
    <w:rsid w:val="7C6D39AE"/>
    <w:rsid w:val="7D002024"/>
    <w:rsid w:val="7D5902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List 3"/>
    <w:basedOn w:val="4"/>
    <w:qFormat/>
    <w:uiPriority w:val="0"/>
    <w:pPr>
      <w:ind w:left="1135"/>
    </w:pPr>
  </w:style>
  <w:style w:type="paragraph" w:styleId="4">
    <w:name w:val="List 2"/>
    <w:basedOn w:val="5"/>
    <w:qFormat/>
    <w:uiPriority w:val="0"/>
    <w:pPr>
      <w:ind w:left="851"/>
    </w:pPr>
  </w:style>
  <w:style w:type="paragraph" w:styleId="5">
    <w:name w:val="List"/>
    <w:basedOn w:val="1"/>
    <w:qFormat/>
    <w:uiPriority w:val="0"/>
    <w:pPr>
      <w:ind w:left="568" w:hanging="284"/>
    </w:pPr>
  </w:style>
  <w:style w:type="paragraph" w:styleId="6">
    <w:name w:val="annotation text"/>
    <w:basedOn w:val="1"/>
    <w:qFormat/>
    <w:uiPriority w:val="0"/>
    <w:pPr>
      <w:jc w:val="left"/>
    </w:pPr>
  </w:style>
  <w:style w:type="paragraph" w:styleId="7">
    <w:name w:val="Body Text"/>
    <w:basedOn w:val="1"/>
    <w:qFormat/>
    <w:uiPriority w:val="0"/>
  </w:style>
  <w:style w:type="paragraph" w:styleId="8">
    <w:name w:val="Date"/>
    <w:basedOn w:val="1"/>
    <w:next w:val="1"/>
    <w:unhideWhenUsed/>
    <w:qFormat/>
    <w:uiPriority w:val="99"/>
    <w:pPr>
      <w:ind w:left="100" w:leftChars="2500"/>
    </w:pPr>
  </w:style>
  <w:style w:type="paragraph" w:styleId="9">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table" w:styleId="11">
    <w:name w:val="Table Grid"/>
    <w:basedOn w:val="10"/>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3">
    <w:name w:val="List Paragraph"/>
    <w:basedOn w:val="1"/>
    <w:qFormat/>
    <w:uiPriority w:val="34"/>
    <w:pPr>
      <w:widowControl/>
      <w:ind w:firstLine="420" w:firstLineChars="200"/>
      <w:jc w:val="left"/>
    </w:pPr>
    <w:rPr>
      <w:rFonts w:ascii="宋体" w:hAnsi="宋体"/>
      <w:kern w:val="0"/>
    </w:rPr>
  </w:style>
  <w:style w:type="paragraph" w:customStyle="1" w:styleId="14">
    <w:name w:val="Proposal"/>
    <w:basedOn w:val="7"/>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16">
    <w:name w:val="TH"/>
    <w:basedOn w:val="1"/>
    <w:qFormat/>
    <w:uiPriority w:val="0"/>
    <w:pPr>
      <w:keepNext/>
      <w:keepLines/>
      <w:spacing w:before="60"/>
      <w:jc w:val="center"/>
    </w:pPr>
    <w:rPr>
      <w:rFonts w:ascii="Arial" w:hAnsi="Arial"/>
      <w:b/>
    </w:rPr>
  </w:style>
  <w:style w:type="paragraph" w:customStyle="1" w:styleId="17">
    <w:name w:val="TAH"/>
    <w:basedOn w:val="18"/>
    <w:qFormat/>
    <w:uiPriority w:val="0"/>
    <w:rPr>
      <w:b/>
    </w:rPr>
  </w:style>
  <w:style w:type="paragraph" w:customStyle="1" w:styleId="18">
    <w:name w:val="TAC"/>
    <w:basedOn w:val="19"/>
    <w:qFormat/>
    <w:uiPriority w:val="0"/>
    <w:pPr>
      <w:jc w:val="center"/>
    </w:pPr>
  </w:style>
  <w:style w:type="paragraph" w:customStyle="1" w:styleId="19">
    <w:name w:val="TAL"/>
    <w:basedOn w:val="1"/>
    <w:qFormat/>
    <w:uiPriority w:val="0"/>
    <w:pPr>
      <w:keepNext/>
      <w:keepLines/>
      <w:spacing w:after="0"/>
    </w:pPr>
    <w:rPr>
      <w:rFonts w:ascii="Arial" w:hAnsi="Arial"/>
      <w:sz w:val="18"/>
    </w:rPr>
  </w:style>
  <w:style w:type="paragraph" w:customStyle="1" w:styleId="20">
    <w:name w:val="TAN"/>
    <w:basedOn w:val="19"/>
    <w:qFormat/>
    <w:uiPriority w:val="0"/>
    <w:pPr>
      <w:ind w:left="851" w:hanging="851"/>
    </w:pPr>
  </w:style>
  <w:style w:type="paragraph" w:customStyle="1" w:styleId="21">
    <w:name w:val="B1"/>
    <w:basedOn w:val="5"/>
    <w:qFormat/>
    <w:uiPriority w:val="0"/>
  </w:style>
  <w:style w:type="paragraph" w:customStyle="1" w:styleId="22">
    <w:name w:val="B2"/>
    <w:basedOn w:val="4"/>
    <w:qFormat/>
    <w:uiPriority w:val="0"/>
  </w:style>
  <w:style w:type="paragraph" w:customStyle="1" w:styleId="23">
    <w:name w:val="B3"/>
    <w:basedOn w:val="3"/>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1</TotalTime>
  <ScaleCrop>false</ScaleCrop>
  <LinksUpToDate>false</LinksUpToDate>
  <CharactersWithSpaces>0</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CMCC-Jingjing</cp:lastModifiedBy>
  <dcterms:modified xsi:type="dcterms:W3CDTF">2025-10-02T02:15:09Z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6869B0C1A34749A384ADE3AAD7A61322</vt:lpwstr>
  </property>
</Properties>
</file>